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5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1"/>
        <w:gridCol w:w="6457"/>
      </w:tblGrid>
      <w:tr w:rsidR="00B30847" w14:paraId="33693592" w14:textId="77777777" w:rsidTr="00DD0A8F">
        <w:trPr>
          <w:trHeight w:val="1701"/>
        </w:trPr>
        <w:tc>
          <w:tcPr>
            <w:tcW w:w="8711" w:type="dxa"/>
          </w:tcPr>
          <w:p w14:paraId="3C4D28D6" w14:textId="77777777" w:rsidR="00B30847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457" w:type="dxa"/>
          </w:tcPr>
          <w:p w14:paraId="31ED5D58" w14:textId="77777777" w:rsidR="005F7A46" w:rsidRDefault="00682309" w:rsidP="00682309">
            <w:pPr>
              <w:spacing w:line="280" w:lineRule="atLeas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  <w:p w14:paraId="457D0305" w14:textId="58249E38" w:rsidR="00B30847" w:rsidRDefault="00B30847" w:rsidP="00682309">
            <w:pPr>
              <w:spacing w:line="280" w:lineRule="atLeast"/>
              <w:ind w:left="819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4752291"/>
            <w:r>
              <w:rPr>
                <w:rFonts w:ascii="Times New Roman" w:hAnsi="Times New Roman" w:cs="Times New Roman"/>
                <w:sz w:val="28"/>
                <w:szCs w:val="28"/>
              </w:rPr>
              <w:t>Утверждена приказом министерства транспорта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 и цифрового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</w:t>
            </w:r>
          </w:p>
          <w:p w14:paraId="4967EFD9" w14:textId="26B5C7B8" w:rsidR="00B30847" w:rsidRPr="00B30847" w:rsidRDefault="00904AB0" w:rsidP="00682309">
            <w:pPr>
              <w:spacing w:line="280" w:lineRule="atLeast"/>
              <w:ind w:left="819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B30847" w:rsidRPr="00B30847">
              <w:rPr>
                <w:rFonts w:ascii="Times New Roman" w:hAnsi="Times New Roman" w:cs="Times New Roman"/>
                <w:bCs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04.04.2019  </w:t>
            </w:r>
            <w:r w:rsidR="00B30847" w:rsidRPr="00B3084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proofErr w:type="gramEnd"/>
            <w:r w:rsidR="00482A3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32ТК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6638DE6E" w14:textId="1314C25D" w:rsidR="00B30847" w:rsidRDefault="005F7A46" w:rsidP="005F7A46">
      <w:pPr>
        <w:spacing w:after="0" w:line="280" w:lineRule="atLeast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,</w:t>
      </w:r>
    </w:p>
    <w:tbl>
      <w:tblPr>
        <w:tblStyle w:val="a3"/>
        <w:tblW w:w="1518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655"/>
        <w:gridCol w:w="2983"/>
        <w:gridCol w:w="2033"/>
        <w:gridCol w:w="1336"/>
        <w:gridCol w:w="1079"/>
        <w:gridCol w:w="684"/>
        <w:gridCol w:w="1336"/>
        <w:gridCol w:w="1337"/>
        <w:gridCol w:w="1336"/>
        <w:gridCol w:w="263"/>
        <w:gridCol w:w="811"/>
        <w:gridCol w:w="1323"/>
        <w:gridCol w:w="10"/>
      </w:tblGrid>
      <w:tr w:rsidR="00B30847" w:rsidRPr="00F4767F" w14:paraId="59E6D85F" w14:textId="77777777" w:rsidTr="00904AB0">
        <w:tc>
          <w:tcPr>
            <w:tcW w:w="655" w:type="dxa"/>
            <w:vAlign w:val="center"/>
          </w:tcPr>
          <w:p w14:paraId="2EBA0B3D" w14:textId="77777777" w:rsidR="00B30847" w:rsidRPr="00F4767F" w:rsidRDefault="00B30847" w:rsidP="00682309">
            <w:pPr>
              <w:spacing w:before="120" w:line="28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14527" w:type="dxa"/>
            <w:gridSpan w:val="12"/>
            <w:vAlign w:val="center"/>
          </w:tcPr>
          <w:p w14:paraId="705DCF4E" w14:textId="125B13BC" w:rsidR="00B30847" w:rsidRPr="00F4767F" w:rsidRDefault="00B30847" w:rsidP="00682309">
            <w:pPr>
              <w:spacing w:before="120" w:line="280" w:lineRule="atLeast"/>
              <w:ind w:firstLine="70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F4767F">
              <w:rPr>
                <w:rFonts w:ascii="Times New Roman" w:hAnsi="Times New Roman" w:cs="Times New Roman"/>
                <w:b/>
                <w:sz w:val="28"/>
                <w:szCs w:val="28"/>
              </w:rPr>
              <w:t>едомственн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F4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F4767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профилактики нарушений обязательных требований</w:t>
            </w:r>
          </w:p>
        </w:tc>
      </w:tr>
      <w:tr w:rsidR="00B30847" w:rsidRPr="00F4767F" w14:paraId="6D53A2DD" w14:textId="77777777" w:rsidTr="00904AB0">
        <w:tc>
          <w:tcPr>
            <w:tcW w:w="655" w:type="dxa"/>
            <w:vMerge w:val="restart"/>
            <w:vAlign w:val="center"/>
          </w:tcPr>
          <w:p w14:paraId="0807AA3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4527" w:type="dxa"/>
            <w:gridSpan w:val="12"/>
          </w:tcPr>
          <w:p w14:paraId="291A3442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i/>
                <w:sz w:val="28"/>
                <w:szCs w:val="28"/>
              </w:rPr>
              <w:t>Аналитическая часть:</w:t>
            </w:r>
          </w:p>
        </w:tc>
      </w:tr>
      <w:tr w:rsidR="00B30847" w:rsidRPr="00F4767F" w14:paraId="28AA0F86" w14:textId="77777777" w:rsidTr="00904AB0">
        <w:tc>
          <w:tcPr>
            <w:tcW w:w="655" w:type="dxa"/>
            <w:vMerge/>
            <w:vAlign w:val="center"/>
          </w:tcPr>
          <w:p w14:paraId="3C9BDEC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527" w:type="dxa"/>
            <w:gridSpan w:val="12"/>
          </w:tcPr>
          <w:p w14:paraId="618BDEB9" w14:textId="77777777" w:rsidR="00B30847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Наименование контрольно-надзорного органа:</w:t>
            </w:r>
          </w:p>
          <w:p w14:paraId="42BEB171" w14:textId="29C9727E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транспорта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дорожного хозяйства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 и цифрового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Новгородской области</w:t>
            </w:r>
          </w:p>
        </w:tc>
      </w:tr>
      <w:tr w:rsidR="00B30847" w:rsidRPr="00F4767F" w14:paraId="252F27D2" w14:textId="77777777" w:rsidTr="00904AB0">
        <w:tc>
          <w:tcPr>
            <w:tcW w:w="655" w:type="dxa"/>
            <w:vAlign w:val="center"/>
          </w:tcPr>
          <w:p w14:paraId="1F22487F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527" w:type="dxa"/>
            <w:gridSpan w:val="12"/>
          </w:tcPr>
          <w:p w14:paraId="0F2702BC" w14:textId="77777777" w:rsidR="00B30847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Наименование вида(</w:t>
            </w:r>
            <w:proofErr w:type="spellStart"/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) государственного контроля (надзора):</w:t>
            </w:r>
          </w:p>
          <w:p w14:paraId="0143E830" w14:textId="5D959A9B" w:rsidR="00B30847" w:rsidRPr="00B30847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0847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государственный контроль </w:t>
            </w:r>
            <w:r w:rsidRPr="00B30847">
              <w:rPr>
                <w:rFonts w:ascii="Times New Roman" w:hAnsi="Times New Roman" w:cs="Times New Roman"/>
                <w:bCs/>
                <w:sz w:val="28"/>
                <w:szCs w:val="28"/>
              </w:rPr>
              <w:t>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на территории Новгородской области</w:t>
            </w:r>
          </w:p>
        </w:tc>
      </w:tr>
      <w:tr w:rsidR="00B30847" w:rsidRPr="00F4767F" w14:paraId="0981DA89" w14:textId="77777777" w:rsidTr="00904AB0">
        <w:tc>
          <w:tcPr>
            <w:tcW w:w="655" w:type="dxa"/>
            <w:vAlign w:val="center"/>
          </w:tcPr>
          <w:p w14:paraId="1D17677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527" w:type="dxa"/>
            <w:gridSpan w:val="12"/>
          </w:tcPr>
          <w:p w14:paraId="2A191A42" w14:textId="77777777" w:rsidR="00B30847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Ф.И.О. заместителя руководителя контрольно-надзорного органа, осуществляющего координацию деятельности ответственных должностных лиц и структурных подразделений контрольно-надзорного органа: </w:t>
            </w:r>
          </w:p>
          <w:p w14:paraId="25E97D8A" w14:textId="0A442BB5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Мирон Артем Сергеевич, заместитель министра транспорта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дорожного хозяйства </w:t>
            </w:r>
            <w:r w:rsidR="00F27AE7">
              <w:rPr>
                <w:rFonts w:ascii="Times New Roman" w:hAnsi="Times New Roman" w:cs="Times New Roman"/>
                <w:sz w:val="28"/>
                <w:szCs w:val="28"/>
              </w:rPr>
              <w:t xml:space="preserve">и цифрового развития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Новгородской области</w:t>
            </w:r>
          </w:p>
        </w:tc>
      </w:tr>
      <w:tr w:rsidR="00B30847" w:rsidRPr="00F4767F" w14:paraId="2F166C1A" w14:textId="77777777" w:rsidTr="00904AB0">
        <w:tc>
          <w:tcPr>
            <w:tcW w:w="655" w:type="dxa"/>
            <w:vAlign w:val="center"/>
          </w:tcPr>
          <w:p w14:paraId="55A968DC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27" w:type="dxa"/>
            <w:gridSpan w:val="12"/>
          </w:tcPr>
          <w:p w14:paraId="5F28B31F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Обзор по каждому виду государственного контроля (надзора):</w:t>
            </w:r>
          </w:p>
          <w:p w14:paraId="6EA8F808" w14:textId="1668D7DB" w:rsidR="009D7713" w:rsidRPr="009D7713" w:rsidRDefault="009D7713" w:rsidP="00682309">
            <w:pPr>
              <w:pStyle w:val="a5"/>
              <w:spacing w:before="0" w:beforeAutospacing="0" w:after="0" w:afterAutospacing="0" w:line="280" w:lineRule="atLeast"/>
              <w:jc w:val="both"/>
              <w:rPr>
                <w:sz w:val="28"/>
                <w:szCs w:val="28"/>
              </w:rPr>
            </w:pPr>
            <w:r w:rsidRPr="009D7713">
              <w:rPr>
                <w:rStyle w:val="a6"/>
                <w:b w:val="0"/>
                <w:sz w:val="28"/>
                <w:szCs w:val="28"/>
              </w:rPr>
              <w:t>В 2013 г.</w:t>
            </w:r>
            <w:r w:rsidRPr="009D7713">
              <w:rPr>
                <w:sz w:val="28"/>
                <w:szCs w:val="28"/>
              </w:rPr>
              <w:t xml:space="preserve"> – проведено 130 плановых выездных проверок. В ходе проведения проверок нарушений обязательных требований законодательства не выявлено.</w:t>
            </w:r>
            <w:r w:rsidR="00682309">
              <w:rPr>
                <w:sz w:val="28"/>
                <w:szCs w:val="28"/>
              </w:rPr>
              <w:t xml:space="preserve"> Внеплановые проверки не проводились.</w:t>
            </w:r>
          </w:p>
          <w:p w14:paraId="31668756" w14:textId="7A987F54" w:rsidR="009D7713" w:rsidRPr="009D7713" w:rsidRDefault="009D7713" w:rsidP="00682309">
            <w:pPr>
              <w:pStyle w:val="a5"/>
              <w:spacing w:before="0" w:beforeAutospacing="0" w:after="0" w:afterAutospacing="0" w:line="280" w:lineRule="atLeast"/>
              <w:jc w:val="both"/>
              <w:rPr>
                <w:sz w:val="28"/>
                <w:szCs w:val="28"/>
              </w:rPr>
            </w:pPr>
            <w:r w:rsidRPr="009D7713">
              <w:rPr>
                <w:rStyle w:val="a6"/>
                <w:b w:val="0"/>
                <w:sz w:val="28"/>
                <w:szCs w:val="28"/>
              </w:rPr>
              <w:t>в 2014 г.</w:t>
            </w:r>
            <w:r w:rsidRPr="009D7713">
              <w:rPr>
                <w:sz w:val="28"/>
                <w:szCs w:val="28"/>
              </w:rPr>
              <w:t xml:space="preserve"> – проведено 106 плановых выездных проверок. В ходе проведения проверок нарушений обязательных требований законодательства не выявлено. Составлено 15 протоколов об административном правонарушении в отношении индивидуальных предпринимателей в связи с неявкой на проведение проверки.</w:t>
            </w:r>
            <w:r w:rsidR="00682309">
              <w:rPr>
                <w:sz w:val="28"/>
                <w:szCs w:val="28"/>
              </w:rPr>
              <w:t xml:space="preserve"> Внеплановые проверки не проводились.</w:t>
            </w:r>
          </w:p>
          <w:p w14:paraId="76F95DF3" w14:textId="5853584C" w:rsidR="009D7713" w:rsidRPr="00682309" w:rsidRDefault="009D7713" w:rsidP="00682309">
            <w:pPr>
              <w:pStyle w:val="a5"/>
              <w:spacing w:before="0" w:beforeAutospacing="0" w:after="0" w:afterAutospacing="0" w:line="280" w:lineRule="atLeast"/>
              <w:jc w:val="both"/>
            </w:pPr>
            <w:r w:rsidRPr="009D7713">
              <w:rPr>
                <w:rStyle w:val="a6"/>
                <w:b w:val="0"/>
                <w:sz w:val="28"/>
                <w:szCs w:val="28"/>
              </w:rPr>
              <w:t>в 2015 г.</w:t>
            </w:r>
            <w:r w:rsidRPr="009D7713">
              <w:rPr>
                <w:sz w:val="28"/>
                <w:szCs w:val="28"/>
              </w:rPr>
              <w:t xml:space="preserve"> – проведено 20 плановых выездных проверок. В ходе проведения проверок нарушений обязательных требований законодательства не выявлено. Составлено 8 протоколов об административном правонарушении в отношении индивидуальных предпринимателей в связи с неявкой на проведение проверки.</w:t>
            </w:r>
            <w:r w:rsidR="00682309">
              <w:rPr>
                <w:sz w:val="28"/>
                <w:szCs w:val="28"/>
              </w:rPr>
              <w:t xml:space="preserve"> Внеплановые проверки не проводились.</w:t>
            </w:r>
          </w:p>
          <w:p w14:paraId="62ACA817" w14:textId="77777777" w:rsidR="009D7713" w:rsidRPr="009D7713" w:rsidRDefault="009D7713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соответствии с Федеральным законом от 13.07.2015 № 246-ФЗ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введен мораторий (запрет) на проверки малого и среднего бизнеса.</w:t>
            </w:r>
          </w:p>
          <w:p w14:paraId="14B967AE" w14:textId="494E8CC0" w:rsidR="009D7713" w:rsidRDefault="009D7713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 xml:space="preserve">Все индивидуальные предприниматели и юридические лица, получившие разрешение на осуществление деятельности по перевозке пассажиров и багажа легковым такси </w:t>
            </w:r>
            <w:proofErr w:type="gramStart"/>
            <w:r w:rsidRPr="009D7713">
              <w:rPr>
                <w:rFonts w:ascii="Times New Roman" w:hAnsi="Times New Roman" w:cs="Times New Roman"/>
                <w:sz w:val="28"/>
                <w:szCs w:val="28"/>
              </w:rPr>
              <w:t>в Новгородской области</w:t>
            </w:r>
            <w:proofErr w:type="gramEnd"/>
            <w:r w:rsidRPr="009D7713">
              <w:rPr>
                <w:rFonts w:ascii="Times New Roman" w:hAnsi="Times New Roman" w:cs="Times New Roman"/>
                <w:sz w:val="28"/>
                <w:szCs w:val="28"/>
              </w:rPr>
              <w:t xml:space="preserve"> попадают под категорию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микропредприятия</w:t>
            </w: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 xml:space="preserve">, в связи с чем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министерство </w:t>
            </w: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>в период с 01.01.2016 по 31.12.2018 не провод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ило </w:t>
            </w: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>плановы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в отношении указанных субъектов.</w:t>
            </w:r>
          </w:p>
          <w:p w14:paraId="6EF93891" w14:textId="77777777" w:rsidR="00682309" w:rsidRPr="00682309" w:rsidRDefault="00682309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bCs/>
                <w:sz w:val="28"/>
                <w:szCs w:val="28"/>
              </w:rPr>
              <w:t>В 2016 году</w:t>
            </w: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 xml:space="preserve"> была проведена 1 внеплановая проверка в отношении юридического лица.</w:t>
            </w:r>
          </w:p>
          <w:p w14:paraId="69FC13B3" w14:textId="3F0D39C4" w:rsidR="00682309" w:rsidRPr="00682309" w:rsidRDefault="00682309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>В ходе проведения внеплановой выездной проверки должностными лицами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</w:t>
            </w: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 xml:space="preserve"> было выявлено отсутствие в путевых листах, оформленных на автотранспортные средства, осуществляющие перевозки пассажиров и багажа легковым такси отметок о прохождении водителями легковых такси предрейсовых медицинских осмотров, что является нарушением требования подпункта в пункта 3 части 16 статьи 9 Федерального закона от 21 апреля 2011 года № 69-ФЗ «О внесении изменений в отдельные законодательные акты Российской Федерации».</w:t>
            </w:r>
          </w:p>
          <w:p w14:paraId="52041317" w14:textId="39765005" w:rsidR="006F224D" w:rsidRDefault="00682309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 xml:space="preserve">По результатам проверки было вынесено предписание об устранении выявленных нарушений, которые были устранены юридическим лицом в установленный срок.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Должностными лицами министерства, осуществляющими проверку, </w:t>
            </w: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 xml:space="preserve">была проведена разъяснительная работа с руководителем и ответственным должностным лицом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юридического лица </w:t>
            </w:r>
            <w:r w:rsidRPr="00682309">
              <w:rPr>
                <w:rFonts w:ascii="Times New Roman" w:hAnsi="Times New Roman" w:cs="Times New Roman"/>
                <w:sz w:val="28"/>
                <w:szCs w:val="28"/>
              </w:rPr>
              <w:t>о недопущении в будущем нарушений законодательства в сфере перевозки пассажиров и багажа легковым такси и доведены до сведения нормы законов, регулирующих таксомоторную деятельность. Должностному лицу, виновному в совершении административного правонарушения назначено административное наказание в виде наложения административного штрафа в размере 5000 рублей.</w:t>
            </w:r>
          </w:p>
          <w:p w14:paraId="13AD0EF0" w14:textId="77777777" w:rsidR="006F224D" w:rsidRDefault="00682309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2017-2018 гг. внеплановые проверки не проводились.</w:t>
            </w:r>
          </w:p>
          <w:p w14:paraId="7CA73D9A" w14:textId="77777777" w:rsidR="00904AB0" w:rsidRPr="00904AB0" w:rsidRDefault="00904AB0" w:rsidP="00904AB0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B0">
              <w:rPr>
                <w:rFonts w:ascii="Times New Roman" w:hAnsi="Times New Roman" w:cs="Times New Roman"/>
                <w:sz w:val="28"/>
                <w:szCs w:val="28"/>
              </w:rPr>
              <w:t>В соответствии со статьей 26.2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плановые проверки в отношении юридических лиц, индивидуальных предпринимателей, отнесенных к субъектам малого предпринимательства, сведения о которых включены в единый реестр субъектов малого и среднего предпринимательства, не проводятся с 1 января 2019 года по 31 декабря 2020 года, за исключением случаев, предусмотренных статьей 26.2 Федерального закона № 294-ФЗ.</w:t>
            </w:r>
          </w:p>
          <w:p w14:paraId="72BF4F40" w14:textId="77777777" w:rsidR="00904AB0" w:rsidRDefault="00904AB0" w:rsidP="00904AB0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AB0">
              <w:rPr>
                <w:rFonts w:ascii="Times New Roman" w:hAnsi="Times New Roman" w:cs="Times New Roman"/>
                <w:sz w:val="28"/>
                <w:szCs w:val="28"/>
              </w:rPr>
              <w:t>В связи с указанным, министерство в 2019 году не будет проводить плановые проверки в отношении юридических лиц и индивидуальных предпринимателей в рамках осуществления регионального государственного контроля за соблюдением юридическими лицами и индивидуальными предпринимателями требований, предъявляемых к осуществлению деятельности по перевозке пассажиров и багажа легковым такси на территории Новгородской области.</w:t>
            </w:r>
          </w:p>
          <w:p w14:paraId="5DD0D208" w14:textId="5DADE1E1" w:rsidR="00904AB0" w:rsidRPr="006F224D" w:rsidRDefault="00904AB0" w:rsidP="00904AB0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847" w:rsidRPr="00F4767F" w14:paraId="227DBF4F" w14:textId="77777777" w:rsidTr="00904AB0">
        <w:tc>
          <w:tcPr>
            <w:tcW w:w="655" w:type="dxa"/>
            <w:vAlign w:val="center"/>
          </w:tcPr>
          <w:p w14:paraId="0A3DEA34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14527" w:type="dxa"/>
            <w:gridSpan w:val="12"/>
          </w:tcPr>
          <w:p w14:paraId="044E8EAE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Цели проведения профилактической работы:</w:t>
            </w:r>
          </w:p>
          <w:p w14:paraId="54C46F1E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1) предупреждение нарушений обязательных требований и предотвращение причинения вреда охраняемым законом ценностям;</w:t>
            </w:r>
          </w:p>
          <w:p w14:paraId="0EE7BDCC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2) устранение существующих и потенциальных условий, причин и факторов, способных привести к нарушению обязательных требований;</w:t>
            </w:r>
          </w:p>
          <w:p w14:paraId="36D19CEB" w14:textId="369F9980" w:rsidR="00904AB0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3) снижение административной нагрузки на подконтрольные субъекты, а также снижение издержек контрольно-надзорной деятельности</w:t>
            </w:r>
          </w:p>
        </w:tc>
      </w:tr>
      <w:tr w:rsidR="00B30847" w:rsidRPr="00F4767F" w14:paraId="7261066C" w14:textId="77777777" w:rsidTr="00904AB0">
        <w:tc>
          <w:tcPr>
            <w:tcW w:w="655" w:type="dxa"/>
            <w:vAlign w:val="center"/>
          </w:tcPr>
          <w:p w14:paraId="4D210EAB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527" w:type="dxa"/>
            <w:gridSpan w:val="12"/>
          </w:tcPr>
          <w:p w14:paraId="083C8F37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Задачи проведения профилактической работы:</w:t>
            </w:r>
          </w:p>
          <w:p w14:paraId="164EE356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1) формирование единого понимания обязательных требований у всех подконтрольных субъектов;</w:t>
            </w:r>
          </w:p>
          <w:p w14:paraId="6B74101D" w14:textId="2B8CC58E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2)</w:t>
            </w:r>
            <w:r w:rsidR="005F7A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14:paraId="7F2966FD" w14:textId="12C40037" w:rsidR="00904AB0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3) инвентаризация состава и особенностей подконтрольных субъектов (объектов) и оценки состояния подконтрольной сферы</w:t>
            </w:r>
          </w:p>
        </w:tc>
      </w:tr>
      <w:tr w:rsidR="00B30847" w:rsidRPr="00F4767F" w14:paraId="024F468D" w14:textId="77777777" w:rsidTr="00904AB0">
        <w:tc>
          <w:tcPr>
            <w:tcW w:w="655" w:type="dxa"/>
            <w:vMerge w:val="restart"/>
            <w:vAlign w:val="center"/>
          </w:tcPr>
          <w:p w14:paraId="0F4049A9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527" w:type="dxa"/>
            <w:gridSpan w:val="12"/>
          </w:tcPr>
          <w:p w14:paraId="30568594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i/>
                <w:sz w:val="28"/>
                <w:szCs w:val="28"/>
              </w:rPr>
              <w:t>Целевые показатели качества и результативности профилактической работы:</w:t>
            </w:r>
          </w:p>
        </w:tc>
      </w:tr>
      <w:tr w:rsidR="00B30847" w:rsidRPr="00F4767F" w14:paraId="2B2490BB" w14:textId="77777777" w:rsidTr="00904AB0">
        <w:tc>
          <w:tcPr>
            <w:tcW w:w="655" w:type="dxa"/>
            <w:vMerge/>
            <w:vAlign w:val="center"/>
          </w:tcPr>
          <w:p w14:paraId="36524326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16" w:type="dxa"/>
            <w:gridSpan w:val="2"/>
            <w:vAlign w:val="center"/>
          </w:tcPr>
          <w:p w14:paraId="1AB5D318" w14:textId="77777777" w:rsidR="00682309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14:paraId="0CE6DDEE" w14:textId="19277B6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 (единица измерения)</w:t>
            </w:r>
          </w:p>
        </w:tc>
        <w:tc>
          <w:tcPr>
            <w:tcW w:w="1336" w:type="dxa"/>
            <w:vAlign w:val="center"/>
          </w:tcPr>
          <w:p w14:paraId="0FDCA4C4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763" w:type="dxa"/>
            <w:gridSpan w:val="2"/>
            <w:vAlign w:val="center"/>
          </w:tcPr>
          <w:p w14:paraId="1EA9BA9D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36" w:type="dxa"/>
            <w:vAlign w:val="center"/>
          </w:tcPr>
          <w:p w14:paraId="7068D07B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337" w:type="dxa"/>
            <w:vAlign w:val="center"/>
          </w:tcPr>
          <w:p w14:paraId="0012E869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36" w:type="dxa"/>
            <w:vAlign w:val="center"/>
          </w:tcPr>
          <w:p w14:paraId="706AC302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1074" w:type="dxa"/>
            <w:gridSpan w:val="2"/>
            <w:vAlign w:val="center"/>
          </w:tcPr>
          <w:p w14:paraId="4AC80CC7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  <w:tc>
          <w:tcPr>
            <w:tcW w:w="1329" w:type="dxa"/>
            <w:gridSpan w:val="2"/>
            <w:vAlign w:val="center"/>
          </w:tcPr>
          <w:p w14:paraId="779F08E1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  <w:tr w:rsidR="00B30847" w:rsidRPr="00F4767F" w14:paraId="7ADB1382" w14:textId="77777777" w:rsidTr="00904AB0">
        <w:tc>
          <w:tcPr>
            <w:tcW w:w="655" w:type="dxa"/>
            <w:vAlign w:val="center"/>
          </w:tcPr>
          <w:p w14:paraId="34D12C7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016" w:type="dxa"/>
            <w:gridSpan w:val="2"/>
          </w:tcPr>
          <w:p w14:paraId="57A4164A" w14:textId="0448F8CE" w:rsidR="00904AB0" w:rsidRPr="00F4767F" w:rsidRDefault="00B3084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нарушений обязательных требований подконтрольными субъектами (%)</w:t>
            </w:r>
          </w:p>
        </w:tc>
        <w:tc>
          <w:tcPr>
            <w:tcW w:w="1336" w:type="dxa"/>
            <w:vAlign w:val="center"/>
          </w:tcPr>
          <w:p w14:paraId="4CF80A25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763" w:type="dxa"/>
            <w:gridSpan w:val="2"/>
            <w:vAlign w:val="center"/>
          </w:tcPr>
          <w:p w14:paraId="62AA118B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1336" w:type="dxa"/>
            <w:vAlign w:val="center"/>
          </w:tcPr>
          <w:p w14:paraId="316FF51D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1337" w:type="dxa"/>
            <w:vAlign w:val="center"/>
          </w:tcPr>
          <w:p w14:paraId="2F1B176D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1336" w:type="dxa"/>
            <w:vAlign w:val="center"/>
          </w:tcPr>
          <w:p w14:paraId="3D5E8BC9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  <w:tc>
          <w:tcPr>
            <w:tcW w:w="1074" w:type="dxa"/>
            <w:gridSpan w:val="2"/>
            <w:vAlign w:val="center"/>
          </w:tcPr>
          <w:p w14:paraId="6F257A07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45 %</w:t>
            </w:r>
          </w:p>
        </w:tc>
        <w:tc>
          <w:tcPr>
            <w:tcW w:w="1329" w:type="dxa"/>
            <w:gridSpan w:val="2"/>
            <w:vAlign w:val="center"/>
          </w:tcPr>
          <w:p w14:paraId="0BC760D9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50 %</w:t>
            </w:r>
          </w:p>
        </w:tc>
      </w:tr>
      <w:tr w:rsidR="00B30847" w:rsidRPr="00F4767F" w14:paraId="350756A9" w14:textId="77777777" w:rsidTr="00904AB0">
        <w:tc>
          <w:tcPr>
            <w:tcW w:w="655" w:type="dxa"/>
            <w:vAlign w:val="center"/>
          </w:tcPr>
          <w:p w14:paraId="418868A6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016" w:type="dxa"/>
            <w:gridSpan w:val="2"/>
          </w:tcPr>
          <w:p w14:paraId="29237D0D" w14:textId="7E7D9A80" w:rsidR="00904AB0" w:rsidRPr="00F4767F" w:rsidRDefault="00B3084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Снижение количества внеплановых проверок, проводимых в отношении субъектов малого и среднего предпринимательства (%)</w:t>
            </w:r>
          </w:p>
        </w:tc>
        <w:tc>
          <w:tcPr>
            <w:tcW w:w="1336" w:type="dxa"/>
            <w:vAlign w:val="center"/>
          </w:tcPr>
          <w:p w14:paraId="51811FE8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10 %</w:t>
            </w:r>
          </w:p>
        </w:tc>
        <w:tc>
          <w:tcPr>
            <w:tcW w:w="1763" w:type="dxa"/>
            <w:gridSpan w:val="2"/>
            <w:vAlign w:val="center"/>
          </w:tcPr>
          <w:p w14:paraId="61B1EC5C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15 %</w:t>
            </w:r>
          </w:p>
        </w:tc>
        <w:tc>
          <w:tcPr>
            <w:tcW w:w="1336" w:type="dxa"/>
            <w:vAlign w:val="center"/>
          </w:tcPr>
          <w:p w14:paraId="01C5608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20 %</w:t>
            </w:r>
          </w:p>
        </w:tc>
        <w:tc>
          <w:tcPr>
            <w:tcW w:w="1337" w:type="dxa"/>
            <w:vAlign w:val="center"/>
          </w:tcPr>
          <w:p w14:paraId="0C153CD1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25 %</w:t>
            </w:r>
          </w:p>
        </w:tc>
        <w:tc>
          <w:tcPr>
            <w:tcW w:w="1336" w:type="dxa"/>
            <w:vAlign w:val="center"/>
          </w:tcPr>
          <w:p w14:paraId="25CAD7A0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30 %</w:t>
            </w:r>
          </w:p>
        </w:tc>
        <w:tc>
          <w:tcPr>
            <w:tcW w:w="1074" w:type="dxa"/>
            <w:gridSpan w:val="2"/>
            <w:vAlign w:val="center"/>
          </w:tcPr>
          <w:p w14:paraId="71BEDA59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35 %</w:t>
            </w:r>
          </w:p>
        </w:tc>
        <w:tc>
          <w:tcPr>
            <w:tcW w:w="1329" w:type="dxa"/>
            <w:gridSpan w:val="2"/>
            <w:vAlign w:val="center"/>
          </w:tcPr>
          <w:p w14:paraId="41CB72FE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40 %</w:t>
            </w:r>
          </w:p>
        </w:tc>
      </w:tr>
      <w:tr w:rsidR="00B30847" w:rsidRPr="00F4767F" w14:paraId="2BDC3AC1" w14:textId="77777777" w:rsidTr="00904AB0">
        <w:tc>
          <w:tcPr>
            <w:tcW w:w="655" w:type="dxa"/>
            <w:vAlign w:val="center"/>
          </w:tcPr>
          <w:p w14:paraId="759469CF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7.3.</w:t>
            </w:r>
          </w:p>
        </w:tc>
        <w:tc>
          <w:tcPr>
            <w:tcW w:w="5016" w:type="dxa"/>
            <w:gridSpan w:val="2"/>
          </w:tcPr>
          <w:p w14:paraId="0FF23C2C" w14:textId="77777777" w:rsidR="00904AB0" w:rsidRDefault="00B3084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Доля подконтрольных субъектов, удовлетворенных деятельностью контрольно-надзорного органа по осуществлению государственного контроля (надзора) от общего количества опрашиваемых (%)</w:t>
            </w:r>
          </w:p>
          <w:p w14:paraId="6D8EFDBC" w14:textId="77777777" w:rsidR="00904AB0" w:rsidRDefault="00904AB0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998D75" w14:textId="77777777" w:rsidR="00904AB0" w:rsidRDefault="00904AB0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AC10ED" w14:textId="21A90E62" w:rsidR="00904AB0" w:rsidRPr="00F4767F" w:rsidRDefault="00904AB0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6" w:type="dxa"/>
            <w:vAlign w:val="center"/>
          </w:tcPr>
          <w:p w14:paraId="39122F23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70 %</w:t>
            </w:r>
          </w:p>
        </w:tc>
        <w:tc>
          <w:tcPr>
            <w:tcW w:w="1763" w:type="dxa"/>
            <w:gridSpan w:val="2"/>
            <w:vAlign w:val="center"/>
          </w:tcPr>
          <w:p w14:paraId="09A71FCB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75 %</w:t>
            </w:r>
          </w:p>
        </w:tc>
        <w:tc>
          <w:tcPr>
            <w:tcW w:w="1336" w:type="dxa"/>
            <w:vAlign w:val="center"/>
          </w:tcPr>
          <w:p w14:paraId="6B7B6C8F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80 %</w:t>
            </w:r>
          </w:p>
        </w:tc>
        <w:tc>
          <w:tcPr>
            <w:tcW w:w="1337" w:type="dxa"/>
            <w:vAlign w:val="center"/>
          </w:tcPr>
          <w:p w14:paraId="7900A487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85 %</w:t>
            </w:r>
          </w:p>
        </w:tc>
        <w:tc>
          <w:tcPr>
            <w:tcW w:w="1336" w:type="dxa"/>
            <w:vAlign w:val="center"/>
          </w:tcPr>
          <w:p w14:paraId="28B4D58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90 %</w:t>
            </w:r>
          </w:p>
        </w:tc>
        <w:tc>
          <w:tcPr>
            <w:tcW w:w="1074" w:type="dxa"/>
            <w:gridSpan w:val="2"/>
            <w:vAlign w:val="center"/>
          </w:tcPr>
          <w:p w14:paraId="3C70EAC5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95 %</w:t>
            </w:r>
          </w:p>
        </w:tc>
        <w:tc>
          <w:tcPr>
            <w:tcW w:w="1329" w:type="dxa"/>
            <w:gridSpan w:val="2"/>
            <w:vAlign w:val="center"/>
          </w:tcPr>
          <w:p w14:paraId="52EB6706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B30847" w:rsidRPr="00F4767F" w14:paraId="328E58B6" w14:textId="77777777" w:rsidTr="00904AB0">
        <w:tc>
          <w:tcPr>
            <w:tcW w:w="655" w:type="dxa"/>
            <w:vMerge w:val="restart"/>
            <w:vAlign w:val="center"/>
          </w:tcPr>
          <w:p w14:paraId="7E3DF1D0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527" w:type="dxa"/>
            <w:gridSpan w:val="12"/>
            <w:vAlign w:val="center"/>
          </w:tcPr>
          <w:p w14:paraId="2972C222" w14:textId="77777777" w:rsidR="00B30847" w:rsidRPr="00F4767F" w:rsidRDefault="00B30847" w:rsidP="00682309">
            <w:pPr>
              <w:autoSpaceDE w:val="0"/>
              <w:autoSpaceDN w:val="0"/>
              <w:adjustRightInd w:val="0"/>
              <w:spacing w:line="280" w:lineRule="atLeast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i/>
                <w:sz w:val="28"/>
                <w:szCs w:val="28"/>
              </w:rPr>
              <w:t>План мероприятий по профилактике нарушений:</w:t>
            </w:r>
          </w:p>
        </w:tc>
      </w:tr>
      <w:tr w:rsidR="00B30847" w:rsidRPr="00F4767F" w14:paraId="28968C6C" w14:textId="77777777" w:rsidTr="00904AB0">
        <w:tc>
          <w:tcPr>
            <w:tcW w:w="655" w:type="dxa"/>
            <w:vMerge/>
            <w:vAlign w:val="center"/>
          </w:tcPr>
          <w:p w14:paraId="19EE071A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Align w:val="center"/>
          </w:tcPr>
          <w:p w14:paraId="5B9320C6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Наименование профилактического мероприятия</w:t>
            </w:r>
          </w:p>
        </w:tc>
        <w:tc>
          <w:tcPr>
            <w:tcW w:w="2033" w:type="dxa"/>
            <w:vAlign w:val="center"/>
          </w:tcPr>
          <w:p w14:paraId="365D2BD7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Срок (периодичность) исполнения, место реализации (при необходимости)</w:t>
            </w:r>
          </w:p>
        </w:tc>
        <w:tc>
          <w:tcPr>
            <w:tcW w:w="2415" w:type="dxa"/>
            <w:gridSpan w:val="2"/>
            <w:vAlign w:val="center"/>
          </w:tcPr>
          <w:p w14:paraId="2F679DC4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Контрольные точки</w:t>
            </w:r>
          </w:p>
        </w:tc>
        <w:tc>
          <w:tcPr>
            <w:tcW w:w="4956" w:type="dxa"/>
            <w:gridSpan w:val="5"/>
            <w:vAlign w:val="center"/>
          </w:tcPr>
          <w:p w14:paraId="351C26B2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Формы и способы осуществления мероприятий</w:t>
            </w:r>
          </w:p>
        </w:tc>
        <w:tc>
          <w:tcPr>
            <w:tcW w:w="2144" w:type="dxa"/>
            <w:gridSpan w:val="3"/>
            <w:vAlign w:val="center"/>
          </w:tcPr>
          <w:p w14:paraId="140540E0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Ф.И.О. и контакты ответственного исполнителя</w:t>
            </w:r>
          </w:p>
        </w:tc>
      </w:tr>
      <w:tr w:rsidR="00B30847" w:rsidRPr="00F4767F" w14:paraId="15779286" w14:textId="77777777" w:rsidTr="00904AB0">
        <w:tc>
          <w:tcPr>
            <w:tcW w:w="655" w:type="dxa"/>
            <w:vAlign w:val="center"/>
          </w:tcPr>
          <w:p w14:paraId="3295C3CE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83" w:type="dxa"/>
            <w:vAlign w:val="center"/>
          </w:tcPr>
          <w:p w14:paraId="368594FF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3" w:type="dxa"/>
            <w:vAlign w:val="center"/>
          </w:tcPr>
          <w:p w14:paraId="3DB1C856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5" w:type="dxa"/>
            <w:gridSpan w:val="2"/>
            <w:vAlign w:val="center"/>
          </w:tcPr>
          <w:p w14:paraId="685F72F1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56" w:type="dxa"/>
            <w:gridSpan w:val="5"/>
            <w:vAlign w:val="center"/>
          </w:tcPr>
          <w:p w14:paraId="30C97060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44" w:type="dxa"/>
            <w:gridSpan w:val="3"/>
            <w:vAlign w:val="center"/>
          </w:tcPr>
          <w:p w14:paraId="3AE8F123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B30847" w:rsidRPr="00F4767F" w14:paraId="112CD3E0" w14:textId="77777777" w:rsidTr="00904AB0">
        <w:tc>
          <w:tcPr>
            <w:tcW w:w="655" w:type="dxa"/>
            <w:vAlign w:val="center"/>
          </w:tcPr>
          <w:p w14:paraId="273CEB1C" w14:textId="77777777" w:rsidR="00B30847" w:rsidRPr="00F4767F" w:rsidRDefault="00B3084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</w:p>
        </w:tc>
        <w:tc>
          <w:tcPr>
            <w:tcW w:w="14527" w:type="dxa"/>
            <w:gridSpan w:val="12"/>
            <w:vAlign w:val="center"/>
          </w:tcPr>
          <w:p w14:paraId="67144F23" w14:textId="77777777" w:rsidR="00B30847" w:rsidRPr="00F4767F" w:rsidRDefault="00B3084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 по профилактике нарушений:</w:t>
            </w:r>
          </w:p>
        </w:tc>
      </w:tr>
      <w:tr w:rsidR="00EF1F07" w:rsidRPr="00F4767F" w14:paraId="055B9A43" w14:textId="77777777" w:rsidTr="00904AB0">
        <w:trPr>
          <w:gridAfter w:val="1"/>
          <w:wAfter w:w="10" w:type="dxa"/>
        </w:trPr>
        <w:tc>
          <w:tcPr>
            <w:tcW w:w="655" w:type="dxa"/>
            <w:vMerge w:val="restart"/>
            <w:vAlign w:val="center"/>
          </w:tcPr>
          <w:p w14:paraId="7FC8E9E6" w14:textId="77777777" w:rsidR="00EF1F07" w:rsidRPr="00F4767F" w:rsidRDefault="00EF1F07" w:rsidP="00682309">
            <w:pPr>
              <w:spacing w:line="280" w:lineRule="atLeast"/>
              <w:ind w:left="-142" w:right="-128"/>
              <w:jc w:val="center"/>
              <w:rPr>
                <w:rFonts w:ascii="Times New Roman" w:hAnsi="Times New Roman" w:cs="Times New Roman"/>
                <w:spacing w:val="-20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pacing w:val="-20"/>
                <w:sz w:val="28"/>
                <w:szCs w:val="28"/>
              </w:rPr>
              <w:t>8.1.1.</w:t>
            </w:r>
          </w:p>
        </w:tc>
        <w:tc>
          <w:tcPr>
            <w:tcW w:w="2983" w:type="dxa"/>
            <w:vMerge w:val="restart"/>
            <w:vAlign w:val="center"/>
          </w:tcPr>
          <w:p w14:paraId="59C21F3A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Информирование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2033" w:type="dxa"/>
            <w:vMerge w:val="restart"/>
            <w:vAlign w:val="center"/>
          </w:tcPr>
          <w:p w14:paraId="516C8875" w14:textId="77777777" w:rsidR="00682309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не реже 1</w:t>
            </w:r>
            <w:r w:rsidR="00682309">
              <w:rPr>
                <w:rFonts w:ascii="Times New Roman" w:hAnsi="Times New Roman" w:cs="Times New Roman"/>
                <w:sz w:val="28"/>
                <w:szCs w:val="28"/>
              </w:rPr>
              <w:t xml:space="preserve"> раза</w:t>
            </w:r>
          </w:p>
          <w:p w14:paraId="00428D24" w14:textId="77777777" w:rsidR="00682309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квартал </w:t>
            </w:r>
          </w:p>
          <w:p w14:paraId="0734EBE2" w14:textId="4BBBD76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 течение 2019-2025 гг.</w:t>
            </w:r>
          </w:p>
        </w:tc>
        <w:tc>
          <w:tcPr>
            <w:tcW w:w="7371" w:type="dxa"/>
            <w:gridSpan w:val="7"/>
          </w:tcPr>
          <w:p w14:paraId="144A0197" w14:textId="406B2499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ежемесячных публичных мероприятий (публичные обсуждения, «круглые столы», семинары, конференции, форумы и т.п.) с участием подконтрольных субъектов </w:t>
            </w:r>
          </w:p>
        </w:tc>
        <w:tc>
          <w:tcPr>
            <w:tcW w:w="2134" w:type="dxa"/>
            <w:gridSpan w:val="2"/>
          </w:tcPr>
          <w:p w14:paraId="507186BA" w14:textId="4C700DCB" w:rsidR="00EF1F07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Никанорова Марина Юрьевна,</w:t>
            </w:r>
          </w:p>
          <w:p w14:paraId="5FCE2EC5" w14:textId="77777777" w:rsidR="00EF1F07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73-12-98, </w:t>
            </w:r>
          </w:p>
          <w:p w14:paraId="55C8111B" w14:textId="77777777" w:rsidR="00904AB0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novkomtrans</w:t>
            </w:r>
            <w:proofErr w:type="spellEnd"/>
            <w:r w:rsidRPr="009D7713">
              <w:rPr>
                <w:rFonts w:ascii="Times New Roman" w:hAnsi="Times New Roman" w:cs="Times New Roman"/>
                <w:sz w:val="28"/>
                <w:szCs w:val="28"/>
              </w:rPr>
              <w:t>@</w:t>
            </w:r>
          </w:p>
          <w:p w14:paraId="5DD1AC7E" w14:textId="128D677E" w:rsidR="00EF1F07" w:rsidRPr="009D7713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bk</w:t>
            </w:r>
            <w:r w:rsidRPr="009D771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62BB214" w14:textId="5608727A" w:rsidR="00EF1F07" w:rsidRPr="009D7713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0252FCDD" w14:textId="77777777" w:rsidTr="00904AB0">
        <w:tc>
          <w:tcPr>
            <w:tcW w:w="655" w:type="dxa"/>
            <w:vMerge/>
            <w:vAlign w:val="center"/>
          </w:tcPr>
          <w:p w14:paraId="2639AC85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0D9C3C4B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3DC1B1C8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4ACE29C3" w14:textId="2A883867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20 числа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предшествующего началу квартала</w:t>
            </w:r>
          </w:p>
        </w:tc>
        <w:tc>
          <w:tcPr>
            <w:tcW w:w="4956" w:type="dxa"/>
            <w:gridSpan w:val="5"/>
            <w:vAlign w:val="center"/>
          </w:tcPr>
          <w:p w14:paraId="6224EB17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составление плана-графика проведения мероприятий с подконтрольными субъектами на очередной месяц</w:t>
            </w:r>
          </w:p>
        </w:tc>
        <w:tc>
          <w:tcPr>
            <w:tcW w:w="2144" w:type="dxa"/>
            <w:gridSpan w:val="3"/>
            <w:vMerge w:val="restart"/>
          </w:tcPr>
          <w:p w14:paraId="3D5BB59C" w14:textId="3B58EEE5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1CD8AB0E" w14:textId="77777777" w:rsidTr="00904AB0">
        <w:tc>
          <w:tcPr>
            <w:tcW w:w="655" w:type="dxa"/>
            <w:vMerge/>
            <w:vAlign w:val="center"/>
          </w:tcPr>
          <w:p w14:paraId="44BB5FEF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635C2FC3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62A137CF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5DE6F696" w14:textId="3E57E5C8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последнего числа месяца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завершающего квартала</w:t>
            </w:r>
          </w:p>
        </w:tc>
        <w:tc>
          <w:tcPr>
            <w:tcW w:w="4956" w:type="dxa"/>
            <w:gridSpan w:val="5"/>
            <w:vAlign w:val="center"/>
          </w:tcPr>
          <w:p w14:paraId="008EB209" w14:textId="240BCAD2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бсуждение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проблемных вопросов, поступивших в отчетном периоде от подконтрольных субъектов </w:t>
            </w:r>
          </w:p>
        </w:tc>
        <w:tc>
          <w:tcPr>
            <w:tcW w:w="2144" w:type="dxa"/>
            <w:gridSpan w:val="3"/>
            <w:vMerge/>
          </w:tcPr>
          <w:p w14:paraId="7D50B911" w14:textId="7D3791AB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7A360637" w14:textId="77777777" w:rsidTr="00904AB0">
        <w:tc>
          <w:tcPr>
            <w:tcW w:w="655" w:type="dxa"/>
            <w:vMerge/>
            <w:vAlign w:val="center"/>
          </w:tcPr>
          <w:p w14:paraId="3F26EA10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52EE4792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1A3C8B20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1FB2115C" w14:textId="77777777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к очередному заседанию рабочей группы</w:t>
            </w:r>
          </w:p>
        </w:tc>
        <w:tc>
          <w:tcPr>
            <w:tcW w:w="4956" w:type="dxa"/>
            <w:gridSpan w:val="5"/>
            <w:vAlign w:val="center"/>
          </w:tcPr>
          <w:p w14:paraId="363EF5B6" w14:textId="77777777" w:rsidR="00EF1F07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размещение на сайте краткой информации о предложенных вариантах решения проблемных вопросов </w:t>
            </w:r>
          </w:p>
          <w:p w14:paraId="0D50BBE2" w14:textId="18169AD7" w:rsidR="00B56A75" w:rsidRPr="00F4767F" w:rsidRDefault="00B56A75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3"/>
            <w:vMerge/>
          </w:tcPr>
          <w:p w14:paraId="6D448F30" w14:textId="4ABD27FF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6E3437D3" w14:textId="77777777" w:rsidTr="00904AB0">
        <w:trPr>
          <w:gridAfter w:val="1"/>
          <w:wAfter w:w="10" w:type="dxa"/>
        </w:trPr>
        <w:tc>
          <w:tcPr>
            <w:tcW w:w="655" w:type="dxa"/>
            <w:vMerge/>
            <w:vAlign w:val="center"/>
          </w:tcPr>
          <w:p w14:paraId="05996DD6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6A1755F9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</w:tcPr>
          <w:p w14:paraId="1C4A2A3E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31.08.2019, далее постоянно в течение 2019-2025 гг.</w:t>
            </w:r>
          </w:p>
        </w:tc>
        <w:tc>
          <w:tcPr>
            <w:tcW w:w="7371" w:type="dxa"/>
            <w:gridSpan w:val="7"/>
          </w:tcPr>
          <w:p w14:paraId="64435EDE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Издание и поддержание в актуальном состоянии «белых» и «черных» книг</w:t>
            </w:r>
          </w:p>
        </w:tc>
        <w:tc>
          <w:tcPr>
            <w:tcW w:w="2134" w:type="dxa"/>
            <w:gridSpan w:val="2"/>
          </w:tcPr>
          <w:p w14:paraId="079B5C65" w14:textId="2217E099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06B1A88C" w14:textId="77777777" w:rsidTr="00904AB0">
        <w:tc>
          <w:tcPr>
            <w:tcW w:w="655" w:type="dxa"/>
            <w:vMerge/>
            <w:vAlign w:val="center"/>
          </w:tcPr>
          <w:p w14:paraId="644E8F23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34D62ABA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1731E276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6FC987E1" w14:textId="77777777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26.08.2019</w:t>
            </w:r>
          </w:p>
        </w:tc>
        <w:tc>
          <w:tcPr>
            <w:tcW w:w="4956" w:type="dxa"/>
            <w:gridSpan w:val="5"/>
            <w:vAlign w:val="center"/>
          </w:tcPr>
          <w:p w14:paraId="216EB9BA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размещение на сайте «белых» и «черных» книг на основании рекомендаций министерства государственного управления Новгородской области </w:t>
            </w:r>
          </w:p>
        </w:tc>
        <w:tc>
          <w:tcPr>
            <w:tcW w:w="2144" w:type="dxa"/>
            <w:gridSpan w:val="3"/>
            <w:vMerge w:val="restart"/>
          </w:tcPr>
          <w:p w14:paraId="2FD7D922" w14:textId="68FDA85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48725DE0" w14:textId="77777777" w:rsidTr="00904AB0">
        <w:tc>
          <w:tcPr>
            <w:tcW w:w="655" w:type="dxa"/>
            <w:vMerge/>
            <w:vAlign w:val="center"/>
          </w:tcPr>
          <w:p w14:paraId="689BC95D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3B88F211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0FBB44A1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1E448EC9" w14:textId="77777777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31.08.2019</w:t>
            </w:r>
          </w:p>
        </w:tc>
        <w:tc>
          <w:tcPr>
            <w:tcW w:w="4956" w:type="dxa"/>
            <w:gridSpan w:val="5"/>
            <w:vAlign w:val="center"/>
          </w:tcPr>
          <w:p w14:paraId="16AD7963" w14:textId="77777777" w:rsidR="00EF1F07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разработка брошюр на основании рекомендаций министерства государственного управления Новгородской области</w:t>
            </w:r>
          </w:p>
          <w:p w14:paraId="472674A2" w14:textId="4C91F694" w:rsidR="00B56A75" w:rsidRPr="00F4767F" w:rsidRDefault="00B56A75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4" w:type="dxa"/>
            <w:gridSpan w:val="3"/>
            <w:vMerge/>
          </w:tcPr>
          <w:p w14:paraId="29554CDC" w14:textId="72DD373F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354E0F8B" w14:textId="77777777" w:rsidTr="00904AB0">
        <w:trPr>
          <w:gridAfter w:val="1"/>
          <w:wAfter w:w="10" w:type="dxa"/>
        </w:trPr>
        <w:tc>
          <w:tcPr>
            <w:tcW w:w="655" w:type="dxa"/>
            <w:vMerge/>
            <w:vAlign w:val="center"/>
          </w:tcPr>
          <w:p w14:paraId="66883EED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13E30129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 w:val="restart"/>
            <w:vAlign w:val="center"/>
          </w:tcPr>
          <w:p w14:paraId="06B04D6D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в течение 2019-2025 гг.</w:t>
            </w:r>
          </w:p>
        </w:tc>
        <w:tc>
          <w:tcPr>
            <w:tcW w:w="7371" w:type="dxa"/>
            <w:gridSpan w:val="7"/>
          </w:tcPr>
          <w:p w14:paraId="349705AC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Обеспечение информационной открытости и электронной доступности</w:t>
            </w:r>
          </w:p>
        </w:tc>
        <w:tc>
          <w:tcPr>
            <w:tcW w:w="2134" w:type="dxa"/>
            <w:gridSpan w:val="2"/>
          </w:tcPr>
          <w:p w14:paraId="20C15E5E" w14:textId="57E9D26D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1E5CF6DA" w14:textId="77777777" w:rsidTr="00904AB0">
        <w:tc>
          <w:tcPr>
            <w:tcW w:w="655" w:type="dxa"/>
            <w:vMerge/>
            <w:vAlign w:val="center"/>
          </w:tcPr>
          <w:p w14:paraId="0EB727B5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237B06EC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41C5601B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4C04B384" w14:textId="40525E04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956" w:type="dxa"/>
            <w:gridSpan w:val="5"/>
            <w:vAlign w:val="center"/>
          </w:tcPr>
          <w:p w14:paraId="6B67A245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установление порядка и механизмов досудебного (внесудебного) обжалования в виде текста, а также в адаптированной форме (в виде блок-схемы основных этапов, сроков обжалования и сроков рассмотрения жалобы, случаев приостановления рассмотрения и отказа в рассмотрении жалобы, видов решений по жалобе)</w:t>
            </w:r>
          </w:p>
        </w:tc>
        <w:tc>
          <w:tcPr>
            <w:tcW w:w="2144" w:type="dxa"/>
            <w:gridSpan w:val="3"/>
            <w:vMerge w:val="restart"/>
          </w:tcPr>
          <w:p w14:paraId="01C930AC" w14:textId="3378F82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25ECB3A3" w14:textId="77777777" w:rsidTr="00904AB0">
        <w:trPr>
          <w:trHeight w:val="2455"/>
        </w:trPr>
        <w:tc>
          <w:tcPr>
            <w:tcW w:w="655" w:type="dxa"/>
            <w:vMerge/>
            <w:vAlign w:val="center"/>
          </w:tcPr>
          <w:p w14:paraId="6F76BDCB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395C1938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1D405894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4892FA6F" w14:textId="4E0BB9E9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.2019, далее не реже 1 раза в 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4956" w:type="dxa"/>
            <w:gridSpan w:val="5"/>
            <w:vAlign w:val="center"/>
          </w:tcPr>
          <w:p w14:paraId="499E57E7" w14:textId="28650529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создание на сайте раздела «Решения по жалобам», в котором публикуются обобщенные сведения о количестве поступивших жалоб, предметах жалоб, позициях сторон спора, а также о принятых по каждой жалобе, рассмотренной по существу, решениях</w:t>
            </w:r>
          </w:p>
        </w:tc>
        <w:tc>
          <w:tcPr>
            <w:tcW w:w="2144" w:type="dxa"/>
            <w:gridSpan w:val="3"/>
            <w:vMerge/>
          </w:tcPr>
          <w:p w14:paraId="5A9F221E" w14:textId="05DE0119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29BF44FD" w14:textId="77777777" w:rsidTr="00904AB0">
        <w:tc>
          <w:tcPr>
            <w:tcW w:w="655" w:type="dxa"/>
            <w:vMerge/>
            <w:vAlign w:val="center"/>
          </w:tcPr>
          <w:p w14:paraId="04B44CC9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13F262F6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54CB23B9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55631510" w14:textId="5AA1CBF9" w:rsidR="00EF1F07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10265E6E" w14:textId="4438368F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финансирования)</w:t>
            </w:r>
          </w:p>
        </w:tc>
        <w:tc>
          <w:tcPr>
            <w:tcW w:w="4956" w:type="dxa"/>
            <w:gridSpan w:val="5"/>
          </w:tcPr>
          <w:p w14:paraId="2B015CDB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Создание на сайте раздела «Онлайн-консультации»</w:t>
            </w:r>
          </w:p>
        </w:tc>
        <w:tc>
          <w:tcPr>
            <w:tcW w:w="2144" w:type="dxa"/>
            <w:gridSpan w:val="3"/>
            <w:vMerge/>
          </w:tcPr>
          <w:p w14:paraId="6E540E8E" w14:textId="060527B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064F9F95" w14:textId="77777777" w:rsidTr="00904AB0">
        <w:tc>
          <w:tcPr>
            <w:tcW w:w="655" w:type="dxa"/>
            <w:vMerge/>
            <w:vAlign w:val="center"/>
          </w:tcPr>
          <w:p w14:paraId="29C66ADD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3BFE68AB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2A022D6E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3095AF7A" w14:textId="4BF2D69C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.06.2019</w:t>
            </w:r>
          </w:p>
        </w:tc>
        <w:tc>
          <w:tcPr>
            <w:tcW w:w="4956" w:type="dxa"/>
            <w:gridSpan w:val="5"/>
          </w:tcPr>
          <w:p w14:paraId="79799EFA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Публикация на сайте рубрики «Часто задаваемые вопросы»</w:t>
            </w:r>
          </w:p>
        </w:tc>
        <w:tc>
          <w:tcPr>
            <w:tcW w:w="2144" w:type="dxa"/>
            <w:gridSpan w:val="3"/>
            <w:vMerge/>
          </w:tcPr>
          <w:p w14:paraId="49D4DDD9" w14:textId="42C9F81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2A9FCE90" w14:textId="77777777" w:rsidTr="00904AB0">
        <w:tc>
          <w:tcPr>
            <w:tcW w:w="655" w:type="dxa"/>
            <w:vMerge/>
            <w:vAlign w:val="center"/>
          </w:tcPr>
          <w:p w14:paraId="37A9D120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08C882BC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0F4C0C10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143F3D98" w14:textId="69E41E66" w:rsidR="00EF1F07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31.0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  <w:p w14:paraId="73778A44" w14:textId="592AA08C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финансирования)</w:t>
            </w:r>
          </w:p>
        </w:tc>
        <w:tc>
          <w:tcPr>
            <w:tcW w:w="4956" w:type="dxa"/>
            <w:gridSpan w:val="5"/>
          </w:tcPr>
          <w:p w14:paraId="4C004558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сайте раздела «Электронный инспектор», </w:t>
            </w:r>
            <w:proofErr w:type="gramStart"/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который  представляют</w:t>
            </w:r>
            <w:proofErr w:type="gramEnd"/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 собой доступные для заполнения в режиме «онлайн» перечни вопросов, ответы на которые позволяют подконтрольному субъекту самостоятельно определить уровень соблюдения им обязательных требований, а также своевременно выявить факты нарушения обязательных требований</w:t>
            </w:r>
          </w:p>
        </w:tc>
        <w:tc>
          <w:tcPr>
            <w:tcW w:w="2144" w:type="dxa"/>
            <w:gridSpan w:val="3"/>
            <w:vMerge/>
          </w:tcPr>
          <w:p w14:paraId="41711783" w14:textId="75F53C3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37CAC981" w14:textId="77777777" w:rsidTr="00904AB0">
        <w:tc>
          <w:tcPr>
            <w:tcW w:w="655" w:type="dxa"/>
            <w:vMerge/>
            <w:vAlign w:val="center"/>
          </w:tcPr>
          <w:p w14:paraId="4FC43936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35D3B0B9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152F7676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576A1E39" w14:textId="77777777" w:rsidR="00EF1F07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31.08.2019</w:t>
            </w:r>
          </w:p>
          <w:p w14:paraId="58E04AC2" w14:textId="1D165590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(при наличии финансирования)</w:t>
            </w:r>
          </w:p>
        </w:tc>
        <w:tc>
          <w:tcPr>
            <w:tcW w:w="4956" w:type="dxa"/>
            <w:gridSpan w:val="5"/>
          </w:tcPr>
          <w:p w14:paraId="2FA0CFAA" w14:textId="7042C524" w:rsidR="00B56A75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Создание на сайте раздела «Экспресс-оценка», который представляет собой  интерактивный сервис, позволяющий подконтрольному субъекту самостоятельно и с минимальными временными затратами выявить наличие в его деятельности таких факторов, которые являются потенциальными основаниями для проведения в отношении него внеплановой проверки</w:t>
            </w:r>
          </w:p>
        </w:tc>
        <w:tc>
          <w:tcPr>
            <w:tcW w:w="2144" w:type="dxa"/>
            <w:gridSpan w:val="3"/>
            <w:vMerge/>
          </w:tcPr>
          <w:p w14:paraId="474B88C5" w14:textId="691FD2E3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19736228" w14:textId="77777777" w:rsidTr="00904AB0">
        <w:tc>
          <w:tcPr>
            <w:tcW w:w="655" w:type="dxa"/>
            <w:vMerge w:val="restart"/>
            <w:vAlign w:val="center"/>
          </w:tcPr>
          <w:p w14:paraId="79A12ED4" w14:textId="77777777" w:rsidR="00EF1F07" w:rsidRPr="00F4767F" w:rsidRDefault="00EF1F07" w:rsidP="00682309">
            <w:pPr>
              <w:spacing w:line="280" w:lineRule="atLeast"/>
              <w:ind w:left="-142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8.1.2.</w:t>
            </w:r>
          </w:p>
        </w:tc>
        <w:tc>
          <w:tcPr>
            <w:tcW w:w="2983" w:type="dxa"/>
            <w:vMerge w:val="restart"/>
            <w:vAlign w:val="center"/>
          </w:tcPr>
          <w:p w14:paraId="378E7A78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в сети «Интернет» перечней нормативных правовых актов или их отдельных частей, содержащих обязательные требования, а также текстов соответствующих нормативных правовых актов и поддержание их в актуальном состоянии </w:t>
            </w:r>
          </w:p>
        </w:tc>
        <w:tc>
          <w:tcPr>
            <w:tcW w:w="2033" w:type="dxa"/>
            <w:vMerge w:val="restart"/>
            <w:vAlign w:val="center"/>
          </w:tcPr>
          <w:p w14:paraId="6FFD2662" w14:textId="6BB9B699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.2019, далее постоянно в течение 2019-2025 гг.</w:t>
            </w:r>
          </w:p>
        </w:tc>
        <w:tc>
          <w:tcPr>
            <w:tcW w:w="2415" w:type="dxa"/>
            <w:gridSpan w:val="2"/>
          </w:tcPr>
          <w:p w14:paraId="5DB660CE" w14:textId="460CF671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15.0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956" w:type="dxa"/>
            <w:gridSpan w:val="5"/>
            <w:vAlign w:val="center"/>
          </w:tcPr>
          <w:p w14:paraId="38ACAB8F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приведение обязательных требований в соответствие с </w:t>
            </w:r>
            <w:r w:rsidRPr="00F4767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рекомендациями министерства государственного управления Новгородской области, 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и размещение на сайте</w:t>
            </w:r>
          </w:p>
        </w:tc>
        <w:tc>
          <w:tcPr>
            <w:tcW w:w="2144" w:type="dxa"/>
            <w:gridSpan w:val="3"/>
            <w:vMerge/>
          </w:tcPr>
          <w:p w14:paraId="533E55EE" w14:textId="0FCE60CE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5D72A679" w14:textId="77777777" w:rsidTr="00904AB0">
        <w:tc>
          <w:tcPr>
            <w:tcW w:w="655" w:type="dxa"/>
            <w:vMerge/>
            <w:vAlign w:val="center"/>
          </w:tcPr>
          <w:p w14:paraId="7A895213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</w:tcPr>
          <w:p w14:paraId="011E8FED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</w:tcPr>
          <w:p w14:paraId="0C8435AB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470B87EF" w14:textId="44E039EC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956" w:type="dxa"/>
            <w:gridSpan w:val="5"/>
          </w:tcPr>
          <w:p w14:paraId="206AC49D" w14:textId="77777777" w:rsidR="00EF1F07" w:rsidRPr="00F4767F" w:rsidRDefault="00EF1F07" w:rsidP="00904AB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краткое и доступное изложение обязательных требований в соответствии с рекомендациями министерства государственного управления Новгородской</w:t>
            </w:r>
            <w:bookmarkStart w:id="1" w:name="_GoBack"/>
            <w:bookmarkEnd w:id="1"/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 области и размещение на сайте</w:t>
            </w:r>
          </w:p>
        </w:tc>
        <w:tc>
          <w:tcPr>
            <w:tcW w:w="2144" w:type="dxa"/>
            <w:gridSpan w:val="3"/>
            <w:vMerge/>
          </w:tcPr>
          <w:p w14:paraId="3B0582AB" w14:textId="07264539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7A755F9D" w14:textId="77777777" w:rsidTr="00904AB0">
        <w:trPr>
          <w:gridAfter w:val="1"/>
          <w:wAfter w:w="10" w:type="dxa"/>
        </w:trPr>
        <w:tc>
          <w:tcPr>
            <w:tcW w:w="655" w:type="dxa"/>
            <w:vMerge w:val="restart"/>
            <w:vAlign w:val="center"/>
          </w:tcPr>
          <w:p w14:paraId="12694D52" w14:textId="77777777" w:rsidR="00EF1F07" w:rsidRPr="00F4767F" w:rsidRDefault="00EF1F07" w:rsidP="00682309">
            <w:pPr>
              <w:tabs>
                <w:tab w:val="left" w:pos="567"/>
              </w:tabs>
              <w:spacing w:line="280" w:lineRule="atLeast"/>
              <w:ind w:left="-142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8.1.3.</w:t>
            </w:r>
          </w:p>
        </w:tc>
        <w:tc>
          <w:tcPr>
            <w:tcW w:w="2983" w:type="dxa"/>
            <w:vMerge w:val="restart"/>
            <w:vAlign w:val="center"/>
          </w:tcPr>
          <w:p w14:paraId="6CC802B3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Обобщение практики осуществления в соответствующей сфере деятельности государственного контроля (надзора)</w:t>
            </w:r>
          </w:p>
        </w:tc>
        <w:tc>
          <w:tcPr>
            <w:tcW w:w="2033" w:type="dxa"/>
            <w:vMerge w:val="restart"/>
            <w:vAlign w:val="center"/>
          </w:tcPr>
          <w:p w14:paraId="501C8AE8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не реже двух раз в год в течение 2019-2025 гг.</w:t>
            </w:r>
          </w:p>
        </w:tc>
        <w:tc>
          <w:tcPr>
            <w:tcW w:w="7371" w:type="dxa"/>
            <w:gridSpan w:val="7"/>
          </w:tcPr>
          <w:p w14:paraId="7209C61D" w14:textId="77777777" w:rsidR="00EF1F07" w:rsidRPr="00F4767F" w:rsidRDefault="00EF1F07" w:rsidP="00682309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публичного заслушивания докладов с обобщением правоприменительной практики, типовых и массовых нарушений обязательных требований</w:t>
            </w:r>
          </w:p>
        </w:tc>
        <w:tc>
          <w:tcPr>
            <w:tcW w:w="2134" w:type="dxa"/>
            <w:gridSpan w:val="2"/>
          </w:tcPr>
          <w:p w14:paraId="7C022C96" w14:textId="7DF804FD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74D2CEC0" w14:textId="77777777" w:rsidTr="00904AB0">
        <w:tc>
          <w:tcPr>
            <w:tcW w:w="655" w:type="dxa"/>
            <w:vMerge/>
            <w:vAlign w:val="center"/>
          </w:tcPr>
          <w:p w14:paraId="03E2043F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10C9A242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22626863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344B7076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  <w:tc>
          <w:tcPr>
            <w:tcW w:w="4956" w:type="dxa"/>
            <w:gridSpan w:val="5"/>
          </w:tcPr>
          <w:p w14:paraId="4D26382E" w14:textId="77777777" w:rsidR="00EF1F07" w:rsidRPr="00F4767F" w:rsidRDefault="00EF1F07" w:rsidP="00904AB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размещение на сайте сведений о количестве проведенных контрольно-надзорных мероприятий, о наиболее часто встречающихся нарушениях обязательных требований, количестве вступивших в законную силу решений (постановлений) о привлечении подконтрольных субъектов и (или) их должностных лиц к административной ответственности за нарушения обязательных требований (с указанием основных видов правонарушений), результаты обобщения правоприменительной практики, классификацию выявленных причин типовых и (или) массовых нарушений в сроки, определенные распоряжением контрольно-надзорного органа, устанавливающим порядок профилактической работы</w:t>
            </w:r>
          </w:p>
        </w:tc>
        <w:tc>
          <w:tcPr>
            <w:tcW w:w="2144" w:type="dxa"/>
            <w:gridSpan w:val="3"/>
            <w:vMerge w:val="restart"/>
          </w:tcPr>
          <w:p w14:paraId="4E462A55" w14:textId="1F755608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1D5E28A3" w14:textId="77777777" w:rsidTr="00904AB0">
        <w:tc>
          <w:tcPr>
            <w:tcW w:w="655" w:type="dxa"/>
            <w:vMerge/>
            <w:vAlign w:val="center"/>
          </w:tcPr>
          <w:p w14:paraId="56528DB7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381389F6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60A06C18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055FCABC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не реже двух раз в год</w:t>
            </w:r>
          </w:p>
        </w:tc>
        <w:tc>
          <w:tcPr>
            <w:tcW w:w="4956" w:type="dxa"/>
            <w:gridSpan w:val="5"/>
          </w:tcPr>
          <w:p w14:paraId="46F144FF" w14:textId="77777777" w:rsidR="00EF1F07" w:rsidRPr="00F4767F" w:rsidRDefault="00EF1F07" w:rsidP="00904AB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подготовка доклада в соответствии с рекомендациями министерства государственного управления Новгородской области</w:t>
            </w:r>
          </w:p>
        </w:tc>
        <w:tc>
          <w:tcPr>
            <w:tcW w:w="2144" w:type="dxa"/>
            <w:gridSpan w:val="3"/>
            <w:vMerge/>
          </w:tcPr>
          <w:p w14:paraId="30F0B50B" w14:textId="3242BD54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54E65ACC" w14:textId="77777777" w:rsidTr="00904AB0">
        <w:tc>
          <w:tcPr>
            <w:tcW w:w="655" w:type="dxa"/>
            <w:vMerge/>
            <w:vAlign w:val="center"/>
          </w:tcPr>
          <w:p w14:paraId="4049AD30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6585D836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5AC47E49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3F2D9B39" w14:textId="77777777" w:rsidR="00EF1F07" w:rsidRPr="00F4767F" w:rsidRDefault="00EF1F07" w:rsidP="005F7A46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до публичного заслушивания</w:t>
            </w:r>
          </w:p>
        </w:tc>
        <w:tc>
          <w:tcPr>
            <w:tcW w:w="4956" w:type="dxa"/>
            <w:gridSpan w:val="5"/>
          </w:tcPr>
          <w:p w14:paraId="53A8B857" w14:textId="77777777" w:rsidR="00EF1F07" w:rsidRPr="00F4767F" w:rsidRDefault="00EF1F07" w:rsidP="00904AB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согласование доклада и презентации к докладу с министерством государственного управления Новгородской области</w:t>
            </w:r>
          </w:p>
        </w:tc>
        <w:tc>
          <w:tcPr>
            <w:tcW w:w="2144" w:type="dxa"/>
            <w:gridSpan w:val="3"/>
            <w:vMerge/>
          </w:tcPr>
          <w:p w14:paraId="0AB4CB42" w14:textId="779491CD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35103E76" w14:textId="77777777" w:rsidTr="00904AB0">
        <w:tc>
          <w:tcPr>
            <w:tcW w:w="655" w:type="dxa"/>
            <w:vMerge/>
            <w:vAlign w:val="center"/>
          </w:tcPr>
          <w:p w14:paraId="24362A50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4D020F9C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631DB7A0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061A5ACE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не реже двух раз в год</w:t>
            </w:r>
          </w:p>
        </w:tc>
        <w:tc>
          <w:tcPr>
            <w:tcW w:w="4956" w:type="dxa"/>
            <w:gridSpan w:val="5"/>
          </w:tcPr>
          <w:p w14:paraId="3C1A56F8" w14:textId="77777777" w:rsidR="00EF1F07" w:rsidRPr="00F4767F" w:rsidRDefault="00EF1F07" w:rsidP="00904AB0">
            <w:pPr>
              <w:spacing w:line="28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проведение публичного заслушивания докладов (обеспечить присутствие не менее 20 подконтрольных субъектов)</w:t>
            </w:r>
          </w:p>
        </w:tc>
        <w:tc>
          <w:tcPr>
            <w:tcW w:w="2144" w:type="dxa"/>
            <w:gridSpan w:val="3"/>
            <w:vMerge/>
          </w:tcPr>
          <w:p w14:paraId="59874288" w14:textId="4FC4B3CA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5847E5E5" w14:textId="77777777" w:rsidTr="00904AB0">
        <w:tc>
          <w:tcPr>
            <w:tcW w:w="655" w:type="dxa"/>
            <w:vMerge/>
            <w:vAlign w:val="center"/>
          </w:tcPr>
          <w:p w14:paraId="4B3913A7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3" w:type="dxa"/>
            <w:vMerge/>
            <w:vAlign w:val="center"/>
          </w:tcPr>
          <w:p w14:paraId="67B3BEE3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3" w:type="dxa"/>
            <w:vMerge/>
            <w:vAlign w:val="center"/>
          </w:tcPr>
          <w:p w14:paraId="75AF06C5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  <w:gridSpan w:val="2"/>
          </w:tcPr>
          <w:p w14:paraId="56A39A84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в течение 2-х дней после публичного заслушивания докладов</w:t>
            </w:r>
          </w:p>
        </w:tc>
        <w:tc>
          <w:tcPr>
            <w:tcW w:w="4956" w:type="dxa"/>
            <w:gridSpan w:val="5"/>
          </w:tcPr>
          <w:p w14:paraId="5D6BA9F8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размещение доклада и материалов на сайте</w:t>
            </w:r>
          </w:p>
        </w:tc>
        <w:tc>
          <w:tcPr>
            <w:tcW w:w="2144" w:type="dxa"/>
            <w:gridSpan w:val="3"/>
            <w:vMerge/>
          </w:tcPr>
          <w:p w14:paraId="06647E24" w14:textId="488686A0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F1F07" w:rsidRPr="00F4767F" w14:paraId="044368E4" w14:textId="77777777" w:rsidTr="00904AB0">
        <w:tc>
          <w:tcPr>
            <w:tcW w:w="655" w:type="dxa"/>
            <w:vAlign w:val="center"/>
          </w:tcPr>
          <w:p w14:paraId="06837386" w14:textId="40695D54" w:rsidR="00EF1F07" w:rsidRPr="00F4767F" w:rsidRDefault="00EF1F07" w:rsidP="00682309">
            <w:pPr>
              <w:spacing w:line="280" w:lineRule="atLeast"/>
              <w:ind w:left="-142" w:right="-12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8.1.</w:t>
            </w:r>
            <w:r w:rsidR="00A967E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83" w:type="dxa"/>
            <w:vAlign w:val="center"/>
          </w:tcPr>
          <w:p w14:paraId="7BF383EA" w14:textId="77777777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Использование и поддержание в актуальном состоянии проверочных листов</w:t>
            </w:r>
          </w:p>
        </w:tc>
        <w:tc>
          <w:tcPr>
            <w:tcW w:w="2033" w:type="dxa"/>
            <w:vAlign w:val="center"/>
          </w:tcPr>
          <w:p w14:paraId="4818969A" w14:textId="44B0E541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.2019, далее постоянно в течение 2019-2025 гг.</w:t>
            </w:r>
          </w:p>
        </w:tc>
        <w:tc>
          <w:tcPr>
            <w:tcW w:w="2415" w:type="dxa"/>
            <w:gridSpan w:val="2"/>
          </w:tcPr>
          <w:p w14:paraId="72566FAE" w14:textId="27B5C447" w:rsidR="00EF1F07" w:rsidRPr="00F4767F" w:rsidRDefault="00EF1F07" w:rsidP="00B56A75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B56A75">
              <w:rPr>
                <w:rFonts w:ascii="Times New Roman" w:hAnsi="Times New Roman" w:cs="Times New Roman"/>
                <w:sz w:val="28"/>
                <w:szCs w:val="28"/>
              </w:rPr>
              <w:t>01.06</w:t>
            </w: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>.2019</w:t>
            </w:r>
          </w:p>
        </w:tc>
        <w:tc>
          <w:tcPr>
            <w:tcW w:w="4956" w:type="dxa"/>
            <w:gridSpan w:val="5"/>
          </w:tcPr>
          <w:p w14:paraId="790748F7" w14:textId="77777777" w:rsidR="00EF1F07" w:rsidRPr="00F4767F" w:rsidRDefault="00EF1F07" w:rsidP="00682309">
            <w:pPr>
              <w:spacing w:line="28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767F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проверочных листов в соответствии с рекомендациями министерства государственного управления Новгородской области и направление на согласование в министерство </w:t>
            </w:r>
          </w:p>
        </w:tc>
        <w:tc>
          <w:tcPr>
            <w:tcW w:w="2144" w:type="dxa"/>
            <w:gridSpan w:val="3"/>
          </w:tcPr>
          <w:p w14:paraId="27871528" w14:textId="12DC3322" w:rsidR="00EF1F07" w:rsidRPr="00F4767F" w:rsidRDefault="00EF1F07" w:rsidP="00682309">
            <w:pPr>
              <w:spacing w:line="28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9460E6C" w14:textId="77777777" w:rsidR="00015C42" w:rsidRDefault="00015C42" w:rsidP="00682309">
      <w:pPr>
        <w:spacing w:after="0" w:line="280" w:lineRule="atLeast"/>
      </w:pPr>
    </w:p>
    <w:sectPr w:rsidR="00015C42" w:rsidSect="00904AB0">
      <w:pgSz w:w="16838" w:h="11905" w:orient="landscape"/>
      <w:pgMar w:top="568" w:right="1134" w:bottom="851" w:left="1134" w:header="397" w:footer="0" w:gutter="0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0D62AB"/>
    <w:multiLevelType w:val="hybridMultilevel"/>
    <w:tmpl w:val="278A23FC"/>
    <w:lvl w:ilvl="0" w:tplc="6A0CD648">
      <w:start w:val="1"/>
      <w:numFmt w:val="decimal"/>
      <w:lvlText w:val="%1)"/>
      <w:lvlJc w:val="left"/>
      <w:pPr>
        <w:ind w:left="735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556"/>
    <w:rsid w:val="00015C42"/>
    <w:rsid w:val="000E1D1E"/>
    <w:rsid w:val="000E3A79"/>
    <w:rsid w:val="00482A38"/>
    <w:rsid w:val="00550B42"/>
    <w:rsid w:val="005F7A46"/>
    <w:rsid w:val="00682309"/>
    <w:rsid w:val="006F224D"/>
    <w:rsid w:val="0073702D"/>
    <w:rsid w:val="008D0BDD"/>
    <w:rsid w:val="00904AB0"/>
    <w:rsid w:val="009D7713"/>
    <w:rsid w:val="00A36556"/>
    <w:rsid w:val="00A967E1"/>
    <w:rsid w:val="00B30847"/>
    <w:rsid w:val="00B56A75"/>
    <w:rsid w:val="00B66EB5"/>
    <w:rsid w:val="00D640F8"/>
    <w:rsid w:val="00D7560F"/>
    <w:rsid w:val="00DD0A8F"/>
    <w:rsid w:val="00EF1F07"/>
    <w:rsid w:val="00F2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D91AA"/>
  <w15:chartTrackingRefBased/>
  <w15:docId w15:val="{1EE2AD53-66A9-4C17-A27C-DFCB784F2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0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0847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9D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D771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04A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04A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8</Pages>
  <Words>1802</Words>
  <Characters>10276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Никанорова Марина Юрьевна</dc:creator>
  <cp:keywords/>
  <dc:description/>
  <cp:lastModifiedBy>Никанорова Марина Юрьевна</cp:lastModifiedBy>
  <cp:revision>13</cp:revision>
  <cp:lastPrinted>2019-04-08T12:50:00Z</cp:lastPrinted>
  <dcterms:created xsi:type="dcterms:W3CDTF">2019-03-27T08:51:00Z</dcterms:created>
  <dcterms:modified xsi:type="dcterms:W3CDTF">2019-04-08T12:50:00Z</dcterms:modified>
</cp:coreProperties>
</file>