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right"/>
      </w:pPr>
      <w:r>
        <w:rPr>
          <w:sz w:val="20"/>
        </w:rPr>
        <w:t xml:space="preserve">Приложение N 29</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энергетики"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ВОЗНИКАЮЩИХ ПРИ ПОДДЕРЖКЕ</w:t>
      </w:r>
    </w:p>
    <w:p>
      <w:pPr>
        <w:pStyle w:val="2"/>
        <w:jc w:val="center"/>
      </w:pPr>
      <w:r>
        <w:rPr>
          <w:sz w:val="20"/>
        </w:rPr>
        <w:t xml:space="preserve">ПЕРЕОБОРУДОВАНИЯ СУЩЕСТВУЮЩЕЙ АВТОМОБИЛЬНОЙ ТЕХНИКИ,</w:t>
      </w:r>
    </w:p>
    <w:p>
      <w:pPr>
        <w:pStyle w:val="2"/>
        <w:jc w:val="center"/>
      </w:pPr>
      <w:r>
        <w:rPr>
          <w:sz w:val="20"/>
        </w:rPr>
        <w:t xml:space="preserve">ВКЛЮЧАЯ ОБЩЕСТВЕННЫЙ ТРАНСПОРТ И КОММУНАЛЬНУЮ ТЕХНИКУ,</w:t>
      </w:r>
    </w:p>
    <w:p>
      <w:pPr>
        <w:pStyle w:val="2"/>
        <w:jc w:val="center"/>
      </w:pPr>
      <w:r>
        <w:rPr>
          <w:sz w:val="20"/>
        </w:rPr>
        <w:t xml:space="preserve">ДЛЯ ИСПОЛЬЗОВАНИЯ ПРИРОДНОГО ГАЗА В КАЧЕСТВЕ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 w:tooltip="Постановление Правительства РФ от 11.12.2019 N 1641 (ред. от 22.04.2023) &quot;О внесении изменений в государственную программу Российской Федерации &quot;Развитие энергетики&quot; и об утверждении перечня субъектов Российской Федерации, в которых формирование заправочной инфраструктуры компримированного природного газа (метана) осуществляется в первоочередном порядке&quot; {КонсультантПлюс}">
              <w:r>
                <w:rPr>
                  <w:sz w:val="20"/>
                  <w:color w:val="0000ff"/>
                </w:rPr>
                <w:t xml:space="preserve">Постановлением</w:t>
              </w:r>
            </w:hyperlink>
            <w:r>
              <w:rPr>
                <w:sz w:val="20"/>
                <w:color w:val="392c69"/>
              </w:rPr>
              <w:t xml:space="preserve"> Правительства РФ от 11.12.2019 N 1641;</w:t>
            </w:r>
          </w:p>
          <w:p>
            <w:pPr>
              <w:pStyle w:val="0"/>
              <w:jc w:val="center"/>
            </w:pPr>
            <w:r>
              <w:rPr>
                <w:sz w:val="20"/>
                <w:color w:val="392c69"/>
              </w:rPr>
              <w:t xml:space="preserve">в ред. Постановлений Правительства РФ от 23.04.2020 </w:t>
            </w:r>
            <w:hyperlink w:history="0" r:id="rId3" w:tooltip="Постановление Правительства РФ от 23.04.2020 N 567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567</w:t>
              </w:r>
            </w:hyperlink>
            <w:r>
              <w:rPr>
                <w:sz w:val="20"/>
                <w:color w:val="392c69"/>
              </w:rPr>
              <w:t xml:space="preserve">,</w:t>
            </w:r>
          </w:p>
          <w:p>
            <w:pPr>
              <w:pStyle w:val="0"/>
              <w:jc w:val="center"/>
            </w:pPr>
            <w:r>
              <w:rPr>
                <w:sz w:val="20"/>
                <w:color w:val="392c69"/>
              </w:rPr>
              <w:t xml:space="preserve">от 03.06.2020 </w:t>
            </w:r>
            <w:hyperlink w:history="0" r:id="rId4" w:tooltip="Постановление Правительства РФ от 03.06.2020 N 812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812</w:t>
              </w:r>
            </w:hyperlink>
            <w:r>
              <w:rPr>
                <w:sz w:val="20"/>
                <w:color w:val="392c69"/>
              </w:rPr>
              <w:t xml:space="preserve">, от 19.06.2020 </w:t>
            </w:r>
            <w:hyperlink w:history="0" r:id="rId5" w:tooltip="Постановление Правительства РФ от 19.06.2020 N 886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886</w:t>
              </w:r>
            </w:hyperlink>
            <w:r>
              <w:rPr>
                <w:sz w:val="20"/>
                <w:color w:val="392c69"/>
              </w:rPr>
              <w:t xml:space="preserve">, от 26.08.2020 </w:t>
            </w:r>
            <w:hyperlink w:history="0" r:id="rId6" w:tooltip="Постановление Правительства РФ от 26.08.2020 N 1281 &quot;О внесении изменения в приложение N 29 к государственной программе Российской Федерации &quot;Развитие энергетики&quot; {КонсультантПлюс}">
              <w:r>
                <w:rPr>
                  <w:sz w:val="20"/>
                  <w:color w:val="0000ff"/>
                </w:rPr>
                <w:t xml:space="preserve">N 1281</w:t>
              </w:r>
            </w:hyperlink>
            <w:r>
              <w:rPr>
                <w:sz w:val="20"/>
                <w:color w:val="392c69"/>
              </w:rPr>
              <w:t xml:space="preserve">,</w:t>
            </w:r>
          </w:p>
          <w:p>
            <w:pPr>
              <w:pStyle w:val="0"/>
              <w:jc w:val="center"/>
            </w:pPr>
            <w:r>
              <w:rPr>
                <w:sz w:val="20"/>
                <w:color w:val="392c69"/>
              </w:rPr>
              <w:t xml:space="preserve">от 12.11.2020 </w:t>
            </w:r>
            <w:hyperlink w:history="0" r:id="rId7"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N 1821</w:t>
              </w:r>
            </w:hyperlink>
            <w:r>
              <w:rPr>
                <w:sz w:val="20"/>
                <w:color w:val="392c69"/>
              </w:rPr>
              <w:t xml:space="preserve">, от 21.01.2021 </w:t>
            </w:r>
            <w:hyperlink w:history="0" r:id="rId8" w:tooltip="Постановление Правительства РФ от 21.01.2021 N 29 &quot;О внесении изменений в приложение N 2 к Правилам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предусмотренным приложением N 29 к госуд {КонсультантПлюс}">
              <w:r>
                <w:rPr>
                  <w:sz w:val="20"/>
                  <w:color w:val="0000ff"/>
                </w:rPr>
                <w:t xml:space="preserve">N 29</w:t>
              </w:r>
            </w:hyperlink>
            <w:r>
              <w:rPr>
                <w:sz w:val="20"/>
                <w:color w:val="392c69"/>
              </w:rPr>
              <w:t xml:space="preserve">, от 31.07.2021 </w:t>
            </w:r>
            <w:hyperlink w:history="0" r:id="rId9" w:tooltip="Постановление Правительства РФ от 31.07.2021 N 1294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1294</w:t>
              </w:r>
            </w:hyperlink>
            <w:r>
              <w:rPr>
                <w:sz w:val="20"/>
                <w:color w:val="392c69"/>
              </w:rPr>
              <w:t xml:space="preserve">,</w:t>
            </w:r>
          </w:p>
          <w:p>
            <w:pPr>
              <w:pStyle w:val="0"/>
              <w:jc w:val="center"/>
            </w:pPr>
            <w:r>
              <w:rPr>
                <w:sz w:val="20"/>
                <w:color w:val="392c69"/>
              </w:rPr>
              <w:t xml:space="preserve">от 18.12.2021 </w:t>
            </w:r>
            <w:hyperlink w:history="0" r:id="rId10" w:tooltip="Постановление Правительства РФ от 18.12.2021 N 2352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N 2352</w:t>
              </w:r>
            </w:hyperlink>
            <w:r>
              <w:rPr>
                <w:sz w:val="20"/>
                <w:color w:val="392c69"/>
              </w:rPr>
              <w:t xml:space="preserve">, от 17.08.2022 </w:t>
            </w:r>
            <w:hyperlink w:history="0" r:id="rId11"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N 1427</w:t>
              </w:r>
            </w:hyperlink>
            <w:r>
              <w:rPr>
                <w:sz w:val="20"/>
                <w:color w:val="392c69"/>
              </w:rPr>
              <w:t xml:space="preserve">, от 18.10.2022 </w:t>
            </w:r>
            <w:hyperlink w:history="0" r:id="rId12" w:tooltip="Постановление Правительства РФ от 18.10.2022 N 1855 &quot;О внесении изменений в приложения N 12, 28 и 29 к государственной программе Российской Федерации &quot;Развитие энергетики&quot; {КонсультантПлюс}">
              <w:r>
                <w:rPr>
                  <w:sz w:val="20"/>
                  <w:color w:val="0000ff"/>
                </w:rPr>
                <w:t xml:space="preserve">N 1855</w:t>
              </w:r>
            </w:hyperlink>
            <w:r>
              <w:rPr>
                <w:sz w:val="20"/>
                <w:color w:val="392c69"/>
              </w:rPr>
              <w:t xml:space="preserve">,</w:t>
            </w:r>
          </w:p>
          <w:p>
            <w:pPr>
              <w:pStyle w:val="0"/>
              <w:jc w:val="center"/>
            </w:pPr>
            <w:r>
              <w:rPr>
                <w:sz w:val="20"/>
                <w:color w:val="392c69"/>
              </w:rPr>
              <w:t xml:space="preserve">от 27.12.2022 </w:t>
            </w:r>
            <w:hyperlink w:history="0" r:id="rId13"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N 2448</w:t>
              </w:r>
            </w:hyperlink>
            <w:r>
              <w:rPr>
                <w:sz w:val="20"/>
                <w:color w:val="392c69"/>
              </w:rPr>
              <w:t xml:space="preserve">, от 22.04.2023 </w:t>
            </w:r>
            <w:hyperlink w:history="0" r:id="rId14" w:tooltip="Постановление Правительства РФ от 22.04.2023 N 636 &quot;О внесении изменений в приложения N 28 и 29 к государственной программе Российской Федерации &quot;Развитие энергетик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636</w:t>
              </w:r>
            </w:hyperlink>
            <w:r>
              <w:rPr>
                <w:sz w:val="20"/>
                <w:color w:val="392c69"/>
              </w:rPr>
              <w:t xml:space="preserve">, от 27.06.2024 </w:t>
            </w:r>
            <w:hyperlink w:history="0" r:id="rId15"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N 873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1" w:name="P21"/>
    <w:bookmarkEnd w:id="21"/>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предоставлении из бюджета субъекта Российской Федерации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(далее соответственно - переоборудование, лица, выполняющие переоборудование, субсидия на переоборудование),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"региональный оператор" - государственное казенное учреждение, находящееся в ведении субъекта Российской Федерации, до которого как получателя бюджетных средств субъекта Российской Федерации доведены лимиты бюджетных обязательств на предоставление субсидии на переоборудование;</w:t>
      </w:r>
    </w:p>
    <w:p>
      <w:pPr>
        <w:pStyle w:val="0"/>
        <w:spacing w:before="200" w:line-rule="auto"/>
        <w:ind w:firstLine="540"/>
        <w:jc w:val="both"/>
      </w:pPr>
      <w:r>
        <w:rPr>
          <w:sz w:val="20"/>
        </w:rPr>
        <w:t xml:space="preserve">"субсидия из федерального бюджета" - субсидия из федерального бюджета бюджетам субъектов Российской Федерации на цели, указанные в </w:t>
      </w:r>
      <w:hyperlink w:history="0" w:anchor="P21"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едоставлении из бюджета субъекта Российской Федерации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Под переоборудованием понимается выполнение работ по установке на транспортное средство газобаллонного оборудования и его настройке, в результате которых транспортное средство получает возможность использовать природный газ (метан) в качестве моторного топлива.</w:t>
      </w:r>
    </w:p>
    <w:p>
      <w:pPr>
        <w:pStyle w:val="0"/>
        <w:spacing w:before="200" w:line-rule="auto"/>
        <w:ind w:firstLine="540"/>
        <w:jc w:val="both"/>
      </w:pPr>
      <w:r>
        <w:rPr>
          <w:sz w:val="20"/>
        </w:rPr>
        <w:t xml:space="preserve">3. Субсидии из федерального бюджета предоставляются в пределах лимитов бюджетных обязательств, доведенных до Министерства энергетики Российской Федерации как получателя средств федерального бюджета, на предоставление субсидий из федерального бюджета.</w:t>
      </w:r>
    </w:p>
    <w:p>
      <w:pPr>
        <w:pStyle w:val="0"/>
        <w:jc w:val="both"/>
      </w:pPr>
      <w:r>
        <w:rPr>
          <w:sz w:val="20"/>
        </w:rPr>
        <w:t xml:space="preserve">(в ред. </w:t>
      </w:r>
      <w:hyperlink w:history="0" r:id="rId16" w:tooltip="Постановление Правительства РФ от 22.04.2023 N 636 &quot;О внесении изменений в приложения N 28 и 29 к государственной программе Российской Федерации &quot;Развитие энергетик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22.04.2023 N 636)</w:t>
      </w:r>
    </w:p>
    <w:p>
      <w:pPr>
        <w:pStyle w:val="0"/>
        <w:spacing w:before="200" w:line-rule="auto"/>
        <w:ind w:firstLine="540"/>
        <w:jc w:val="both"/>
      </w:pPr>
      <w:r>
        <w:rPr>
          <w:sz w:val="20"/>
        </w:rPr>
        <w:t xml:space="preserve">4. Условиями предоставления субсидий из федерального бюджета являются:</w:t>
      </w:r>
    </w:p>
    <w:p>
      <w:pPr>
        <w:pStyle w:val="0"/>
        <w:spacing w:before="200" w:line-rule="auto"/>
        <w:ind w:firstLine="540"/>
        <w:jc w:val="both"/>
      </w:pPr>
      <w:r>
        <w:rPr>
          <w:sz w:val="20"/>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0"/>
        <w:jc w:val="both"/>
      </w:pPr>
      <w:r>
        <w:rPr>
          <w:sz w:val="20"/>
        </w:rPr>
        <w:t xml:space="preserve">(пп. "а" в ред. </w:t>
      </w:r>
      <w:hyperlink w:history="0" r:id="rId17"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Постановления</w:t>
        </w:r>
      </w:hyperlink>
      <w:r>
        <w:rPr>
          <w:sz w:val="20"/>
        </w:rPr>
        <w:t xml:space="preserve"> Правительства РФ от 27.06.2024 N 873)</w:t>
      </w:r>
    </w:p>
    <w:p>
      <w:pPr>
        <w:pStyle w:val="0"/>
        <w:spacing w:before="200" w:line-rule="auto"/>
        <w:ind w:firstLine="540"/>
        <w:jc w:val="both"/>
      </w:pPr>
      <w:r>
        <w:rPr>
          <w:sz w:val="20"/>
        </w:rPr>
        <w:t xml:space="preserve">б) заключение между Министерством энергетики Российской Федерации и высшим исполнительным органом субъекта Российской Федерации соглашения о предоставлении субсидии из федерального бюджета (далее - соглашение) в соответствии с </w:t>
      </w:r>
      <w:hyperlink w:history="0" r:id="rId1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jc w:val="both"/>
      </w:pPr>
      <w:r>
        <w:rPr>
          <w:sz w:val="20"/>
        </w:rPr>
        <w:t xml:space="preserve">(в ред. </w:t>
      </w:r>
      <w:hyperlink w:history="0" r:id="rId19"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27.12.2022 N 2448)</w:t>
      </w:r>
    </w:p>
    <w:p>
      <w:pPr>
        <w:pStyle w:val="0"/>
        <w:spacing w:before="200" w:line-rule="auto"/>
        <w:ind w:firstLine="540"/>
        <w:jc w:val="both"/>
      </w:pPr>
      <w:r>
        <w:rPr>
          <w:sz w:val="20"/>
        </w:rPr>
        <w:t xml:space="preserve">в) наличие правовых актов субъекта Российской Федерации, утверждающих:</w:t>
      </w:r>
    </w:p>
    <w:p>
      <w:pPr>
        <w:pStyle w:val="0"/>
        <w:spacing w:before="200" w:line-rule="auto"/>
        <w:ind w:firstLine="540"/>
        <w:jc w:val="both"/>
      </w:pPr>
      <w:r>
        <w:rPr>
          <w:sz w:val="20"/>
        </w:rPr>
        <w:t xml:space="preserve">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из федерального бюджета;</w:t>
      </w:r>
    </w:p>
    <w:p>
      <w:pPr>
        <w:pStyle w:val="0"/>
        <w:jc w:val="both"/>
      </w:pPr>
      <w:r>
        <w:rPr>
          <w:sz w:val="20"/>
        </w:rPr>
        <w:t xml:space="preserve">(в ред. </w:t>
      </w:r>
      <w:hyperlink w:history="0" r:id="rId20" w:tooltip="Постановление Правительства РФ от 22.04.2023 N 636 &quot;О внесении изменений в приложения N 28 и 29 к государственной программе Российской Федерации &quot;Развитие энергетик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22.04.2023 N 636)</w:t>
      </w:r>
    </w:p>
    <w:p>
      <w:pPr>
        <w:pStyle w:val="0"/>
        <w:spacing w:before="200" w:line-rule="auto"/>
        <w:ind w:firstLine="540"/>
        <w:jc w:val="both"/>
      </w:pPr>
      <w:r>
        <w:rPr>
          <w:sz w:val="20"/>
        </w:rPr>
        <w:t xml:space="preserve">требования к транспортным средствам, при переоборудовании которых у лиц, выполняющих переоборудование, возникает право на получение субсидии на переоборудование (транспортные средства, выпущенные в обращение и зарегистрированные на территории Российской Федерации и имеющие год выпуска не ранее чем за 15 лет до текущего финансового года);</w:t>
      </w:r>
    </w:p>
    <w:p>
      <w:pPr>
        <w:pStyle w:val="0"/>
        <w:jc w:val="both"/>
      </w:pPr>
      <w:r>
        <w:rPr>
          <w:sz w:val="20"/>
        </w:rPr>
        <w:t xml:space="preserve">(в ред. </w:t>
      </w:r>
      <w:hyperlink w:history="0" r:id="rId21"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spacing w:before="200" w:line-rule="auto"/>
        <w:ind w:firstLine="540"/>
        <w:jc w:val="both"/>
      </w:pPr>
      <w:r>
        <w:rPr>
          <w:sz w:val="20"/>
        </w:rPr>
        <w:t xml:space="preserve">требования к лицам, выполняющим переоборудование, - получателям субсидии на переоборудование, которые должны быть не ниже минимальных квалификационных и иных требований, предъявляемых к лицам, выполняющим переоборудование, согласно </w:t>
      </w:r>
      <w:hyperlink w:history="0" w:anchor="P109" w:tooltip="МИНИМАЛЬНЫЕ КВАЛИФИКАЦИОННЫЕ И ИНЫЕ ТРЕБОВАНИЯ,">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порядок определения размера субсидии на переоборудование, который соответствует общим требованиям к порядку определения размера субсидии на переоборудование согласно </w:t>
      </w:r>
      <w:hyperlink w:history="0" w:anchor="P143" w:tooltip="ОБЩИЕ ТРЕБОВАНИЯ">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требования к используемому газобаллонному оборудованию, его компонентам, комплектующим и выполняемым работам по переоборудованию согласно </w:t>
      </w:r>
      <w:hyperlink w:history="0" w:anchor="P210" w:tooltip="ТРЕБОВАНИЯ">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требования к перечню документов, представляемых лицами, выполняющими переоборудование, для подтверждения права на получение субсидии на переоборудование, включающему в том числе:</w:t>
      </w:r>
    </w:p>
    <w:p>
      <w:pPr>
        <w:pStyle w:val="0"/>
        <w:spacing w:before="200" w:line-rule="auto"/>
        <w:ind w:firstLine="540"/>
        <w:jc w:val="both"/>
      </w:pPr>
      <w:r>
        <w:rPr>
          <w:sz w:val="20"/>
        </w:rPr>
        <w:t xml:space="preserve">копию свидетельства о регистрации транспортного средства;</w:t>
      </w:r>
    </w:p>
    <w:p>
      <w:pPr>
        <w:pStyle w:val="0"/>
        <w:spacing w:before="200" w:line-rule="auto"/>
        <w:ind w:firstLine="540"/>
        <w:jc w:val="both"/>
      </w:pPr>
      <w:r>
        <w:rPr>
          <w:sz w:val="20"/>
        </w:rPr>
        <w:t xml:space="preserve">копию разрешения на внесение изменения в конструкцию транспортного средства;</w:t>
      </w:r>
    </w:p>
    <w:p>
      <w:pPr>
        <w:pStyle w:val="0"/>
        <w:spacing w:before="200" w:line-rule="auto"/>
        <w:ind w:firstLine="540"/>
        <w:jc w:val="both"/>
      </w:pPr>
      <w:r>
        <w:rPr>
          <w:sz w:val="20"/>
        </w:rPr>
        <w:t xml:space="preserve">копию сертификата на установленное газобаллонное оборудование;</w:t>
      </w:r>
    </w:p>
    <w:p>
      <w:pPr>
        <w:pStyle w:val="0"/>
        <w:spacing w:before="200" w:line-rule="auto"/>
        <w:ind w:firstLine="540"/>
        <w:jc w:val="both"/>
      </w:pPr>
      <w:r>
        <w:rPr>
          <w:sz w:val="20"/>
        </w:rPr>
        <w:t xml:space="preserve">копию паспорта газового баллона;</w:t>
      </w:r>
    </w:p>
    <w:p>
      <w:pPr>
        <w:pStyle w:val="0"/>
        <w:spacing w:before="200" w:line-rule="auto"/>
        <w:ind w:firstLine="540"/>
        <w:jc w:val="both"/>
      </w:pPr>
      <w:r>
        <w:rPr>
          <w:sz w:val="20"/>
        </w:rPr>
        <w:t xml:space="preserve">копию договора на переоборудование и копию акта выполненных работ по переоборудованию;</w:t>
      </w:r>
    </w:p>
    <w:p>
      <w:pPr>
        <w:pStyle w:val="0"/>
        <w:spacing w:before="200" w:line-rule="auto"/>
        <w:ind w:firstLine="540"/>
        <w:jc w:val="both"/>
      </w:pPr>
      <w:r>
        <w:rPr>
          <w:sz w:val="20"/>
        </w:rPr>
        <w:t xml:space="preserve">копию спецификации на использованное газобаллонное оборудование, перечень выполненных работ по переоборудованию с указанием их стоимости и расчет предоставленной скидки на выполнение работ по переоборудованию;</w:t>
      </w:r>
    </w:p>
    <w:p>
      <w:pPr>
        <w:pStyle w:val="0"/>
        <w:spacing w:before="200" w:line-rule="auto"/>
        <w:ind w:firstLine="540"/>
        <w:jc w:val="both"/>
      </w:pPr>
      <w:r>
        <w:rPr>
          <w:sz w:val="20"/>
        </w:rPr>
        <w:t xml:space="preserve">копию декларации производителя работ по установке на транспортное средство оборудования для питания двигателя газообразным топливом;</w:t>
      </w:r>
    </w:p>
    <w:p>
      <w:pPr>
        <w:pStyle w:val="0"/>
        <w:spacing w:before="200" w:line-rule="auto"/>
        <w:ind w:firstLine="540"/>
        <w:jc w:val="both"/>
      </w:pPr>
      <w:r>
        <w:rPr>
          <w:sz w:val="20"/>
        </w:rPr>
        <w:t xml:space="preserve">порядок проверки фактического представления лицами, выполняющими переоборудование, скидки на выполнение работ по переоборудованию владельцу транспортного средства и ее размера;</w:t>
      </w:r>
    </w:p>
    <w:p>
      <w:pPr>
        <w:pStyle w:val="0"/>
        <w:spacing w:before="200" w:line-rule="auto"/>
        <w:ind w:firstLine="540"/>
        <w:jc w:val="both"/>
      </w:pPr>
      <w:r>
        <w:rPr>
          <w:sz w:val="20"/>
        </w:rPr>
        <w:t xml:space="preserve">перечень полномочий (кроме проверки фактического представления лицами, выполняющими переоборудование, скидки на выполнение работ по переоборудованию владельцу транспортного средства и ее размера), которые передаются региональному оператору, а также порядок обжалования действий и решений регионального оператора (в случае если субъектом Российской Федерации принято решение о создании регионального оператора);</w:t>
      </w:r>
    </w:p>
    <w:p>
      <w:pPr>
        <w:pStyle w:val="0"/>
        <w:spacing w:before="200" w:line-rule="auto"/>
        <w:ind w:firstLine="540"/>
        <w:jc w:val="both"/>
      </w:pPr>
      <w:r>
        <w:rPr>
          <w:sz w:val="20"/>
        </w:rPr>
        <w:t xml:space="preserve">выписку из единого реестра субъектов малого и среднего предпринимательства (при необходимости);</w:t>
      </w:r>
    </w:p>
    <w:p>
      <w:pPr>
        <w:pStyle w:val="0"/>
        <w:jc w:val="both"/>
      </w:pPr>
      <w:r>
        <w:rPr>
          <w:sz w:val="20"/>
        </w:rPr>
        <w:t xml:space="preserve">(абзац введен </w:t>
      </w:r>
      <w:hyperlink w:history="0" r:id="rId22" w:tooltip="Постановление Правительства РФ от 19.06.2020 N 886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19.06.2020 N 886; в ред. </w:t>
      </w:r>
      <w:hyperlink w:history="0" r:id="rId23"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spacing w:before="200" w:line-rule="auto"/>
        <w:ind w:firstLine="540"/>
        <w:jc w:val="both"/>
      </w:pPr>
      <w:r>
        <w:rPr>
          <w:sz w:val="20"/>
        </w:rPr>
        <w:t xml:space="preserve">схему территориального размещения существующих и перспективных объектов заправочной инфраструктуры компримированного природного газа на территории субъекта Российской Федерации, а также порядок ее актуализации не реже чем один раз в год;</w:t>
      </w:r>
    </w:p>
    <w:p>
      <w:pPr>
        <w:pStyle w:val="0"/>
        <w:jc w:val="both"/>
      </w:pPr>
      <w:r>
        <w:rPr>
          <w:sz w:val="20"/>
        </w:rPr>
        <w:t xml:space="preserve">(абзац введен </w:t>
      </w:r>
      <w:hyperlink w:history="0" r:id="rId24"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12.11.2020 N 1821)</w:t>
      </w:r>
    </w:p>
    <w:p>
      <w:pPr>
        <w:pStyle w:val="0"/>
        <w:spacing w:before="200" w:line-rule="auto"/>
        <w:ind w:firstLine="540"/>
        <w:jc w:val="both"/>
      </w:pPr>
      <w:r>
        <w:rPr>
          <w:sz w:val="20"/>
        </w:rPr>
        <w:t xml:space="preserve">порядок представления документов, направляемых в электронном виде лицами, выполняющими переоборудование, для прохождения отбора и (или) подтверждения права на получение субсидии.</w:t>
      </w:r>
    </w:p>
    <w:p>
      <w:pPr>
        <w:pStyle w:val="0"/>
        <w:jc w:val="both"/>
      </w:pPr>
      <w:r>
        <w:rPr>
          <w:sz w:val="20"/>
        </w:rPr>
        <w:t xml:space="preserve">(абзац введен </w:t>
      </w:r>
      <w:hyperlink w:history="0" r:id="rId25"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12.11.2020 N 1821)</w:t>
      </w:r>
    </w:p>
    <w:p>
      <w:pPr>
        <w:pStyle w:val="0"/>
        <w:spacing w:before="200" w:line-rule="auto"/>
        <w:ind w:firstLine="540"/>
        <w:jc w:val="both"/>
      </w:pPr>
      <w:r>
        <w:rPr>
          <w:sz w:val="20"/>
        </w:rPr>
        <w:t xml:space="preserve">5. Критериями отбора субъектов Российской Федерации для предоставления субсидий из федерального бюджета являются:</w:t>
      </w:r>
    </w:p>
    <w:p>
      <w:pPr>
        <w:pStyle w:val="0"/>
        <w:spacing w:before="200" w:line-rule="auto"/>
        <w:ind w:firstLine="540"/>
        <w:jc w:val="both"/>
      </w:pPr>
      <w:r>
        <w:rPr>
          <w:sz w:val="20"/>
        </w:rPr>
        <w:t xml:space="preserve">а) утратил силу. - </w:t>
      </w:r>
      <w:hyperlink w:history="0" r:id="rId26" w:tooltip="Постановление Правительства РФ от 18.12.2021 N 2352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Постановление</w:t>
        </w:r>
      </w:hyperlink>
      <w:r>
        <w:rPr>
          <w:sz w:val="20"/>
        </w:rPr>
        <w:t xml:space="preserve"> Правительства РФ от 18.12.2021 N 2352;</w:t>
      </w:r>
    </w:p>
    <w:p>
      <w:pPr>
        <w:pStyle w:val="0"/>
        <w:spacing w:before="200" w:line-rule="auto"/>
        <w:ind w:firstLine="540"/>
        <w:jc w:val="both"/>
      </w:pPr>
      <w:r>
        <w:rPr>
          <w:sz w:val="20"/>
        </w:rPr>
        <w:t xml:space="preserve">б) наличие правового акта исполнительного органа субъекта Российской Федерации, утверждающего план мероприятий по развитию рынка природного газа в субъекте Российской Федерации, включающий в себя меры популяризации использования природного газа в качестве моторного топлива, а также целевые показатели по переоборудованию транспортных средств на использование природного газа (метана) в качестве моторного топлива;</w:t>
      </w:r>
    </w:p>
    <w:p>
      <w:pPr>
        <w:pStyle w:val="0"/>
        <w:jc w:val="both"/>
      </w:pPr>
      <w:r>
        <w:rPr>
          <w:sz w:val="20"/>
        </w:rPr>
        <w:t xml:space="preserve">(в ред. </w:t>
      </w:r>
      <w:hyperlink w:history="0" r:id="rId27"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27.12.2022 N 2448)</w:t>
      </w:r>
    </w:p>
    <w:p>
      <w:pPr>
        <w:pStyle w:val="0"/>
        <w:spacing w:before="200" w:line-rule="auto"/>
        <w:ind w:firstLine="540"/>
        <w:jc w:val="both"/>
      </w:pPr>
      <w:r>
        <w:rPr>
          <w:sz w:val="20"/>
        </w:rPr>
        <w:t xml:space="preserve">в) наличие правового акта исполнительного органа субъекта Российской Федерации, утверждающего региональную программу по оснащению зарядными колонками (станциями) для транспортных средств с электродвигателями.</w:t>
      </w:r>
    </w:p>
    <w:p>
      <w:pPr>
        <w:pStyle w:val="0"/>
        <w:jc w:val="both"/>
      </w:pPr>
      <w:r>
        <w:rPr>
          <w:sz w:val="20"/>
        </w:rPr>
        <w:t xml:space="preserve">(в ред. </w:t>
      </w:r>
      <w:hyperlink w:history="0" r:id="rId28"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27.12.2022 N 2448)</w:t>
      </w:r>
    </w:p>
    <w:p>
      <w:pPr>
        <w:pStyle w:val="0"/>
        <w:spacing w:before="200" w:line-rule="auto"/>
        <w:ind w:firstLine="540"/>
        <w:jc w:val="both"/>
      </w:pPr>
      <w:r>
        <w:rPr>
          <w:sz w:val="20"/>
        </w:rPr>
        <w:t xml:space="preserve">6. Утратил силу. - </w:t>
      </w:r>
      <w:hyperlink w:history="0" r:id="rId29" w:tooltip="Постановление Правительства РФ от 18.12.2021 N 2352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Постановление</w:t>
        </w:r>
      </w:hyperlink>
      <w:r>
        <w:rPr>
          <w:sz w:val="20"/>
        </w:rPr>
        <w:t xml:space="preserve"> Правительства РФ от 18.12.2021 N 2352.</w:t>
      </w:r>
    </w:p>
    <w:p>
      <w:pPr>
        <w:pStyle w:val="0"/>
        <w:spacing w:before="200" w:line-rule="auto"/>
        <w:ind w:firstLine="540"/>
        <w:jc w:val="both"/>
      </w:pPr>
      <w:r>
        <w:rPr>
          <w:sz w:val="20"/>
        </w:rPr>
        <w:t xml:space="preserve">7. Размер субсидии из федерального бюджета, предоставляемой в текущем году бюджету субъекта Российской Федерации, определяется в соответствии с заявкой субъекта Российской Федерации на получение субсидии из федерального бюджета по форме, установленной Министерством энергетики Российской Федерации (далее - заявка), но не более 75 млн. рублей для каждого субъекта Российской Федерации и не более 30 процентов общего объема бюджетных ассигнований федерального бюджета на предоставление субсидий, предусмотренных настоящими Правилами, по формуле:</w:t>
      </w:r>
    </w:p>
    <w:p>
      <w:pPr>
        <w:pStyle w:val="0"/>
        <w:jc w:val="both"/>
      </w:pPr>
      <w:r>
        <w:rPr>
          <w:sz w:val="20"/>
        </w:rPr>
      </w:r>
    </w:p>
    <w:p>
      <w:pPr>
        <w:pStyle w:val="0"/>
        <w:jc w:val="center"/>
      </w:pPr>
      <w:r>
        <w:rPr>
          <w:position w:val="-25"/>
        </w:rPr>
        <w:drawing>
          <wp:inline distT="0" distB="0" distL="0" distR="0">
            <wp:extent cx="16478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64782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w:t>
      </w:r>
      <w:r>
        <w:rPr>
          <w:sz w:val="20"/>
        </w:rP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w:t>
      </w:r>
    </w:p>
    <w:p>
      <w:pPr>
        <w:pStyle w:val="0"/>
        <w:spacing w:before="200" w:line-rule="auto"/>
        <w:ind w:firstLine="540"/>
        <w:jc w:val="both"/>
      </w:pPr>
      <w:r>
        <w:rPr>
          <w:sz w:val="20"/>
        </w:rPr>
        <w:t xml:space="preserve">C</w:t>
      </w:r>
      <w:r>
        <w:rPr>
          <w:sz w:val="20"/>
          <w:vertAlign w:val="subscript"/>
        </w:rPr>
        <w:t xml:space="preserve">общ</w:t>
      </w:r>
      <w:r>
        <w:rPr>
          <w:sz w:val="20"/>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0"/>
        <w:spacing w:before="200" w:line-rule="auto"/>
        <w:ind w:firstLine="540"/>
        <w:jc w:val="both"/>
      </w:pPr>
      <w:r>
        <w:rPr>
          <w:sz w:val="20"/>
        </w:rPr>
        <w:t xml:space="preserve">N</w:t>
      </w:r>
      <w:r>
        <w:rPr>
          <w:sz w:val="20"/>
          <w:vertAlign w:val="subscript"/>
        </w:rPr>
        <w:t xml:space="preserve">i</w:t>
      </w:r>
      <w:r>
        <w:rPr>
          <w:sz w:val="20"/>
        </w:rPr>
        <w:t xml:space="preserve"> - объем бюджетных ассигнований, необходимый для исполнения расходных обязательств субъектов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w:history="0" r:id="rId3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jc w:val="both"/>
      </w:pPr>
      <w:r>
        <w:rPr>
          <w:sz w:val="20"/>
        </w:rPr>
        <w:t xml:space="preserve">(п. 7 в ред. </w:t>
      </w:r>
      <w:hyperlink w:history="0" r:id="rId32"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Постановления</w:t>
        </w:r>
      </w:hyperlink>
      <w:r>
        <w:rPr>
          <w:sz w:val="20"/>
        </w:rPr>
        <w:t xml:space="preserve"> Правительства РФ от 27.06.2024 N 873)</w:t>
      </w:r>
    </w:p>
    <w:p>
      <w:pPr>
        <w:pStyle w:val="0"/>
        <w:spacing w:before="200" w:line-rule="auto"/>
        <w:ind w:firstLine="540"/>
        <w:jc w:val="both"/>
      </w:pPr>
      <w:r>
        <w:rPr>
          <w:sz w:val="20"/>
        </w:rPr>
        <w:t xml:space="preserve">8. Субсидия из федерального бюджета предоставляется в соответствии с федеральным законом о федеральном бюджете на соответствующий финансовый год и плановый период и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w:history="0" r:id="rId3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форме</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Объем расходов бюджета субъекта Российской Федерации на финансовое обеспечение мероприятий по предоставлению субсидий на переоборудование, в целях которых предоставляется субсидия из федерального бюджета, определяется исходя из предельного уровня софинансирования расходного обязательства субъекта Российской Федерации в соответствии с </w:t>
      </w:r>
      <w:hyperlink w:history="0" r:id="rId3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9. 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значения результатов использования субсидии.</w:t>
      </w:r>
    </w:p>
    <w:p>
      <w:pPr>
        <w:pStyle w:val="0"/>
        <w:jc w:val="both"/>
      </w:pPr>
      <w:r>
        <w:rPr>
          <w:sz w:val="20"/>
        </w:rPr>
        <w:t xml:space="preserve">(п. 9 в ред. </w:t>
      </w:r>
      <w:hyperlink w:history="0" r:id="rId35"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Постановления</w:t>
        </w:r>
      </w:hyperlink>
      <w:r>
        <w:rPr>
          <w:sz w:val="20"/>
        </w:rPr>
        <w:t xml:space="preserve"> Правительства РФ от 27.06.2024 N 873)</w:t>
      </w:r>
    </w:p>
    <w:p>
      <w:pPr>
        <w:pStyle w:val="0"/>
        <w:spacing w:before="200" w:line-rule="auto"/>
        <w:ind w:firstLine="540"/>
        <w:jc w:val="both"/>
      </w:pPr>
      <w:r>
        <w:rPr>
          <w:sz w:val="20"/>
        </w:rPr>
        <w:t xml:space="preserve">10. Перечисление субсидий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(в ред. </w:t>
      </w:r>
      <w:hyperlink w:history="0" r:id="rId36" w:tooltip="Постановление Правительства РФ от 31.07.2021 N 1294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31.07.2021 N 1294)</w:t>
      </w:r>
    </w:p>
    <w:p>
      <w:pPr>
        <w:pStyle w:val="0"/>
        <w:spacing w:before="200" w:line-rule="auto"/>
        <w:ind w:firstLine="540"/>
        <w:jc w:val="both"/>
      </w:pPr>
      <w:r>
        <w:rPr>
          <w:sz w:val="20"/>
        </w:rP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jc w:val="both"/>
      </w:pPr>
      <w:r>
        <w:rPr>
          <w:sz w:val="20"/>
        </w:rPr>
        <w:t xml:space="preserve">(п. 11 в ред. </w:t>
      </w:r>
      <w:hyperlink w:history="0" r:id="rId40"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Постановления</w:t>
        </w:r>
      </w:hyperlink>
      <w:r>
        <w:rPr>
          <w:sz w:val="20"/>
        </w:rPr>
        <w:t xml:space="preserve"> Правительства РФ от 27.06.2024 N 873)</w:t>
      </w:r>
    </w:p>
    <w:bookmarkStart w:id="82" w:name="P82"/>
    <w:bookmarkEnd w:id="82"/>
    <w:p>
      <w:pPr>
        <w:pStyle w:val="0"/>
        <w:spacing w:before="200" w:line-rule="auto"/>
        <w:ind w:firstLine="540"/>
        <w:jc w:val="both"/>
      </w:pPr>
      <w:r>
        <w:rPr>
          <w:sz w:val="20"/>
        </w:rPr>
        <w:t xml:space="preserve">12. Результатом предоставления субсидии из федерального бюджета является переоборудование транспортных средств на использование природного газа (метана) в качестве моторного топлива при реализации федерального проекта "Чистая энергетика" государственной программы Российской Федерации "Развитие энергетики".</w:t>
      </w:r>
    </w:p>
    <w:p>
      <w:pPr>
        <w:pStyle w:val="0"/>
        <w:jc w:val="both"/>
      </w:pPr>
      <w:r>
        <w:rPr>
          <w:sz w:val="20"/>
        </w:rPr>
        <w:t xml:space="preserve">(п. 12 в ред. </w:t>
      </w:r>
      <w:hyperlink w:history="0" r:id="rId41"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Постановления</w:t>
        </w:r>
      </w:hyperlink>
      <w:r>
        <w:rPr>
          <w:sz w:val="20"/>
        </w:rPr>
        <w:t xml:space="preserve"> Правительства РФ от 27.06.2024 N 873)</w:t>
      </w:r>
    </w:p>
    <w:p>
      <w:pPr>
        <w:pStyle w:val="0"/>
        <w:spacing w:before="200" w:line-rule="auto"/>
        <w:ind w:firstLine="540"/>
        <w:jc w:val="both"/>
      </w:pPr>
      <w:r>
        <w:rPr>
          <w:sz w:val="20"/>
        </w:rPr>
        <w:t xml:space="preserve">13. Эффективность использования субсидий из федерального бюджета оценивается ежегодно Министерством энергетики Российской Федерации на основе значения результата использования субсидий из федерального бюджета, указанного в </w:t>
      </w:r>
      <w:hyperlink w:history="0" w:anchor="P82" w:tooltip="12. Результатом предоставления субсидии из федерального бюджета является переоборудование транспортных средств на использование природного газа (метана) в качестве моторного топлива при реализации федерального проекта &quot;Чистая энергетика&quot; государственной программы Российской Федерации &quot;Развитие энергетики&quot;.">
        <w:r>
          <w:rPr>
            <w:sz w:val="20"/>
            <w:color w:val="0000ff"/>
          </w:rPr>
          <w:t xml:space="preserve">пункте 12</w:t>
        </w:r>
      </w:hyperlink>
      <w:r>
        <w:rPr>
          <w:sz w:val="20"/>
        </w:rPr>
        <w:t xml:space="preserve"> настоящих Правил.</w:t>
      </w:r>
    </w:p>
    <w:p>
      <w:pPr>
        <w:pStyle w:val="0"/>
        <w:jc w:val="both"/>
      </w:pPr>
      <w:r>
        <w:rPr>
          <w:sz w:val="20"/>
        </w:rPr>
        <w:t xml:space="preserve">(п. 13 в ред. </w:t>
      </w:r>
      <w:hyperlink w:history="0" r:id="rId42"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Постановления</w:t>
        </w:r>
      </w:hyperlink>
      <w:r>
        <w:rPr>
          <w:sz w:val="20"/>
        </w:rPr>
        <w:t xml:space="preserve"> Правительства РФ от 27.06.2024 N 873)</w:t>
      </w:r>
    </w:p>
    <w:p>
      <w:pPr>
        <w:pStyle w:val="0"/>
        <w:spacing w:before="200" w:line-rule="auto"/>
        <w:ind w:firstLine="540"/>
        <w:jc w:val="both"/>
      </w:pPr>
      <w:r>
        <w:rPr>
          <w:sz w:val="20"/>
        </w:rPr>
        <w:t xml:space="preserve">14. Оценка эффективности использования субсидий из федерального бюджета производится путем сравнения фактически достигнутых значений результата использования субсидий из федерального бюджета за соответствующий год со значениями результата использования субсидий из федерального бюджета, предусмотренными соглашениями.</w:t>
      </w:r>
    </w:p>
    <w:p>
      <w:pPr>
        <w:pStyle w:val="0"/>
        <w:spacing w:before="200" w:line-rule="auto"/>
        <w:ind w:firstLine="540"/>
        <w:jc w:val="both"/>
      </w:pPr>
      <w:r>
        <w:rPr>
          <w:sz w:val="20"/>
        </w:rPr>
        <w:t xml:space="preserve">15. Контроль за соблюдением субъектами Российской Федерации условий предоставления субсидий из федерального бюджета осуществляется Министерством энергетики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16.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16 введен </w:t>
      </w:r>
      <w:hyperlink w:history="0" r:id="rId43"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Постановлением</w:t>
        </w:r>
      </w:hyperlink>
      <w:r>
        <w:rPr>
          <w:sz w:val="20"/>
        </w:rPr>
        <w:t xml:space="preserve"> Правительства РФ от 27.06.2024 N 873)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возникающих при поддержке</w:t>
      </w:r>
    </w:p>
    <w:p>
      <w:pPr>
        <w:pStyle w:val="0"/>
        <w:jc w:val="right"/>
      </w:pPr>
      <w:r>
        <w:rPr>
          <w:sz w:val="20"/>
        </w:rPr>
        <w:t xml:space="preserve">переоборудования существующей</w:t>
      </w:r>
    </w:p>
    <w:p>
      <w:pPr>
        <w:pStyle w:val="0"/>
        <w:jc w:val="right"/>
      </w:pPr>
      <w:r>
        <w:rPr>
          <w:sz w:val="20"/>
        </w:rPr>
        <w:t xml:space="preserve">автомобильной техники, включая</w:t>
      </w:r>
    </w:p>
    <w:p>
      <w:pPr>
        <w:pStyle w:val="0"/>
        <w:jc w:val="right"/>
      </w:pPr>
      <w:r>
        <w:rPr>
          <w:sz w:val="20"/>
        </w:rPr>
        <w:t xml:space="preserve">общественный транспорт и коммунальную</w:t>
      </w:r>
    </w:p>
    <w:p>
      <w:pPr>
        <w:pStyle w:val="0"/>
        <w:jc w:val="right"/>
      </w:pPr>
      <w:r>
        <w:rPr>
          <w:sz w:val="20"/>
        </w:rPr>
        <w:t xml:space="preserve">технику, для использования природного</w:t>
      </w:r>
    </w:p>
    <w:p>
      <w:pPr>
        <w:pStyle w:val="0"/>
        <w:jc w:val="right"/>
      </w:pPr>
      <w:r>
        <w:rPr>
          <w:sz w:val="20"/>
        </w:rPr>
        <w:t xml:space="preserve">газа в качестве топлива</w:t>
      </w:r>
    </w:p>
    <w:p>
      <w:pPr>
        <w:pStyle w:val="0"/>
        <w:jc w:val="both"/>
      </w:pPr>
      <w:r>
        <w:rPr>
          <w:sz w:val="20"/>
        </w:rPr>
      </w:r>
    </w:p>
    <w:bookmarkStart w:id="109" w:name="P109"/>
    <w:bookmarkEnd w:id="109"/>
    <w:p>
      <w:pPr>
        <w:pStyle w:val="2"/>
        <w:jc w:val="center"/>
      </w:pPr>
      <w:r>
        <w:rPr>
          <w:sz w:val="20"/>
        </w:rPr>
        <w:t xml:space="preserve">МИНИМАЛЬНЫЕ КВАЛИФИКАЦИОННЫЕ И ИНЫЕ ТРЕБОВАНИЯ,</w:t>
      </w:r>
    </w:p>
    <w:p>
      <w:pPr>
        <w:pStyle w:val="2"/>
        <w:jc w:val="center"/>
      </w:pPr>
      <w:r>
        <w:rPr>
          <w:sz w:val="20"/>
        </w:rPr>
        <w:t xml:space="preserve">ПРЕДЪЯВЛЯЕМЫЕ К ЮРИДИЧЕСКИМ ЛИЦАМ И ИНДИВИДУАЛЬНЫМ</w:t>
      </w:r>
    </w:p>
    <w:p>
      <w:pPr>
        <w:pStyle w:val="2"/>
        <w:jc w:val="center"/>
      </w:pPr>
      <w:r>
        <w:rPr>
          <w:sz w:val="20"/>
        </w:rPr>
        <w:t xml:space="preserve">ПРЕДПРИНИМАТЕЛЯМ, ВЫПОЛНЯЮЩИМ РАБОТЫ ПО ПЕРЕОБОРУДОВАНИЮ</w:t>
      </w:r>
    </w:p>
    <w:p>
      <w:pPr>
        <w:pStyle w:val="2"/>
        <w:jc w:val="center"/>
      </w:pPr>
      <w:r>
        <w:rPr>
          <w:sz w:val="20"/>
        </w:rPr>
        <w:t xml:space="preserve">ТРАНСПОРТНЫХ СРЕДСТВ НА ИСПОЛЬЗОВАНИЕ ПРИРОДНОГО</w:t>
      </w:r>
    </w:p>
    <w:p>
      <w:pPr>
        <w:pStyle w:val="2"/>
        <w:jc w:val="center"/>
      </w:pPr>
      <w:r>
        <w:rPr>
          <w:sz w:val="20"/>
        </w:rPr>
        <w:t xml:space="preserve">ГАЗА (МЕТАНА) В КАЧЕСТВЕ МОТОРНОГО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4"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color w:val="392c69"/>
              </w:rPr>
              <w:t xml:space="preserve"> Правительства РФ от 17.08.2022 N 1427)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части материально-технической базы юридических лиц и индивидуальных предпринимателей, выполняющих работы по переоборудованию транспортных средств на использование природного газа (метана) (далее соответственно - переоборудование, лица, выполняющие переоборудование):</w:t>
      </w:r>
    </w:p>
    <w:p>
      <w:pPr>
        <w:pStyle w:val="0"/>
        <w:spacing w:before="200" w:line-rule="auto"/>
        <w:ind w:firstLine="540"/>
        <w:jc w:val="both"/>
      </w:pPr>
      <w:r>
        <w:rPr>
          <w:sz w:val="20"/>
        </w:rPr>
        <w:t xml:space="preserve">наличие не менее 2 постов для переоборудования и не менее одного специализированного поста для переоборудования грузовых транспортных средств и автобусов (в случае выполнения переоборудования таких транспортных средств);</w:t>
      </w:r>
    </w:p>
    <w:p>
      <w:pPr>
        <w:pStyle w:val="0"/>
        <w:spacing w:before="200" w:line-rule="auto"/>
        <w:ind w:firstLine="540"/>
        <w:jc w:val="both"/>
      </w:pPr>
      <w:r>
        <w:rPr>
          <w:sz w:val="20"/>
        </w:rPr>
        <w:t xml:space="preserve">наличие накопительной площадки для не менее 3 легковых транспортных средств и наличие клиентской зоны площадью не менее 10 м</w:t>
      </w:r>
      <w:r>
        <w:rPr>
          <w:sz w:val="20"/>
          <w:vertAlign w:val="superscript"/>
        </w:rPr>
        <w:t xml:space="preserve">2</w:t>
      </w:r>
      <w:r>
        <w:rPr>
          <w:sz w:val="20"/>
        </w:rPr>
        <w:t xml:space="preserve">.</w:t>
      </w:r>
    </w:p>
    <w:p>
      <w:pPr>
        <w:pStyle w:val="0"/>
        <w:spacing w:before="200" w:line-rule="auto"/>
        <w:ind w:firstLine="540"/>
        <w:jc w:val="both"/>
      </w:pPr>
      <w:r>
        <w:rPr>
          <w:sz w:val="20"/>
        </w:rPr>
        <w:t xml:space="preserve">2. В части наличия у лиц, выполняющих переоборудование, опыта и соответствия выполняемых работ по переоборудованию установленным требованиям:</w:t>
      </w:r>
    </w:p>
    <w:p>
      <w:pPr>
        <w:pStyle w:val="0"/>
        <w:spacing w:before="200" w:line-rule="auto"/>
        <w:ind w:firstLine="540"/>
        <w:jc w:val="both"/>
      </w:pPr>
      <w:r>
        <w:rPr>
          <w:sz w:val="20"/>
        </w:rPr>
        <w:t xml:space="preserve">наличие сертификата соответствия на проведение работ по переоборудованию автомобилей для работы на сжатом природном газе;</w:t>
      </w:r>
    </w:p>
    <w:p>
      <w:pPr>
        <w:pStyle w:val="0"/>
        <w:spacing w:before="200" w:line-rule="auto"/>
        <w:ind w:firstLine="540"/>
        <w:jc w:val="both"/>
      </w:pPr>
      <w:r>
        <w:rPr>
          <w:sz w:val="20"/>
        </w:rPr>
        <w:t xml:space="preserve">наличие опыта переоборудования с 1 января года, предшествующего году предоставления субсидии, не менее 5 единиц транспортных средств.</w:t>
      </w:r>
    </w:p>
    <w:p>
      <w:pPr>
        <w:pStyle w:val="0"/>
        <w:jc w:val="both"/>
      </w:pPr>
      <w:r>
        <w:rPr>
          <w:sz w:val="20"/>
        </w:rPr>
        <w:t xml:space="preserve">(в ред. </w:t>
      </w:r>
      <w:hyperlink w:history="0" r:id="rId45"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возникающих при поддержке</w:t>
      </w:r>
    </w:p>
    <w:p>
      <w:pPr>
        <w:pStyle w:val="0"/>
        <w:jc w:val="right"/>
      </w:pPr>
      <w:r>
        <w:rPr>
          <w:sz w:val="20"/>
        </w:rPr>
        <w:t xml:space="preserve">переоборудования существующей</w:t>
      </w:r>
    </w:p>
    <w:p>
      <w:pPr>
        <w:pStyle w:val="0"/>
        <w:jc w:val="right"/>
      </w:pPr>
      <w:r>
        <w:rPr>
          <w:sz w:val="20"/>
        </w:rPr>
        <w:t xml:space="preserve">автомобильной техники, включая</w:t>
      </w:r>
    </w:p>
    <w:p>
      <w:pPr>
        <w:pStyle w:val="0"/>
        <w:jc w:val="right"/>
      </w:pPr>
      <w:r>
        <w:rPr>
          <w:sz w:val="20"/>
        </w:rPr>
        <w:t xml:space="preserve">общественный транспорт и коммунальную</w:t>
      </w:r>
    </w:p>
    <w:p>
      <w:pPr>
        <w:pStyle w:val="0"/>
        <w:jc w:val="right"/>
      </w:pPr>
      <w:r>
        <w:rPr>
          <w:sz w:val="20"/>
        </w:rPr>
        <w:t xml:space="preserve">технику, для использования природного</w:t>
      </w:r>
    </w:p>
    <w:p>
      <w:pPr>
        <w:pStyle w:val="0"/>
        <w:jc w:val="right"/>
      </w:pPr>
      <w:r>
        <w:rPr>
          <w:sz w:val="20"/>
        </w:rPr>
        <w:t xml:space="preserve">газа в качестве топлива</w:t>
      </w:r>
    </w:p>
    <w:p>
      <w:pPr>
        <w:pStyle w:val="0"/>
        <w:jc w:val="both"/>
      </w:pPr>
      <w:r>
        <w:rPr>
          <w:sz w:val="20"/>
        </w:rPr>
      </w:r>
    </w:p>
    <w:bookmarkStart w:id="143" w:name="P143"/>
    <w:bookmarkEnd w:id="143"/>
    <w:p>
      <w:pPr>
        <w:pStyle w:val="2"/>
        <w:jc w:val="center"/>
      </w:pPr>
      <w:r>
        <w:rPr>
          <w:sz w:val="20"/>
        </w:rPr>
        <w:t xml:space="preserve">ОБЩИЕ ТРЕБОВАНИЯ</w:t>
      </w:r>
    </w:p>
    <w:p>
      <w:pPr>
        <w:pStyle w:val="2"/>
        <w:jc w:val="center"/>
      </w:pPr>
      <w:r>
        <w:rPr>
          <w:sz w:val="20"/>
        </w:rPr>
        <w:t xml:space="preserve">К ПОРЯДКУ ОПРЕДЕЛЕНИЯ РАЗМЕРА СУБСИДИИ ЮРИДИЧЕСКИМ ЛИЦАМ</w:t>
      </w:r>
    </w:p>
    <w:p>
      <w:pPr>
        <w:pStyle w:val="2"/>
        <w:jc w:val="center"/>
      </w:pPr>
      <w:r>
        <w:rPr>
          <w:sz w:val="20"/>
        </w:rPr>
        <w:t xml:space="preserve">И ИНДИВИДУАЛЬНЫМ ПРЕДПРИНИМАТЕЛЯМ, ВЫПОЛНЯЮЩИМ РАБОТЫ</w:t>
      </w:r>
    </w:p>
    <w:p>
      <w:pPr>
        <w:pStyle w:val="2"/>
        <w:jc w:val="center"/>
      </w:pPr>
      <w:r>
        <w:rPr>
          <w:sz w:val="20"/>
        </w:rPr>
        <w:t xml:space="preserve">ПО ПЕРЕОБОРУДОВАНИЮ ТРАНСПОРТНЫХ СРЕДСТВ НА ИСПОЛЬЗОВАНИЕ</w:t>
      </w:r>
    </w:p>
    <w:p>
      <w:pPr>
        <w:pStyle w:val="2"/>
        <w:jc w:val="center"/>
      </w:pPr>
      <w:r>
        <w:rPr>
          <w:sz w:val="20"/>
        </w:rPr>
        <w:t xml:space="preserve">ПРИРОДНОГО ГАЗА (МЕТАНА) В КАЧЕСТВЕ МОТОРНОГО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03.06.2020 </w:t>
            </w:r>
            <w:hyperlink w:history="0" r:id="rId46" w:tooltip="Постановление Правительства РФ от 03.06.2020 N 812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812</w:t>
              </w:r>
            </w:hyperlink>
            <w:r>
              <w:rPr>
                <w:sz w:val="20"/>
                <w:color w:val="392c69"/>
              </w:rPr>
              <w:t xml:space="preserve">,</w:t>
            </w:r>
          </w:p>
          <w:p>
            <w:pPr>
              <w:pStyle w:val="0"/>
              <w:jc w:val="center"/>
            </w:pPr>
            <w:r>
              <w:rPr>
                <w:sz w:val="20"/>
                <w:color w:val="392c69"/>
              </w:rPr>
              <w:t xml:space="preserve">от 19.06.2020 </w:t>
            </w:r>
            <w:hyperlink w:history="0" r:id="rId47" w:tooltip="Постановление Правительства РФ от 19.06.2020 N 886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886</w:t>
              </w:r>
            </w:hyperlink>
            <w:r>
              <w:rPr>
                <w:sz w:val="20"/>
                <w:color w:val="392c69"/>
              </w:rPr>
              <w:t xml:space="preserve">, от 12.11.2020 </w:t>
            </w:r>
            <w:hyperlink w:history="0" r:id="rId48" w:tooltip="Постановление Правительства РФ от 12.11.2020 N 1821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N 1821</w:t>
              </w:r>
            </w:hyperlink>
            <w:r>
              <w:rPr>
                <w:sz w:val="20"/>
                <w:color w:val="392c69"/>
              </w:rPr>
              <w:t xml:space="preserve">, от 21.01.2021 </w:t>
            </w:r>
            <w:hyperlink w:history="0" r:id="rId49" w:tooltip="Постановление Правительства РФ от 21.01.2021 N 29 &quot;О внесении изменений в приложение N 2 к Правилам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предусмотренным приложением N 29 к госуд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от 17.08.2022 </w:t>
            </w:r>
            <w:hyperlink w:history="0" r:id="rId50"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N 1427</w:t>
              </w:r>
            </w:hyperlink>
            <w:r>
              <w:rPr>
                <w:sz w:val="20"/>
                <w:color w:val="392c69"/>
              </w:rPr>
              <w:t xml:space="preserve">, от 18.10.2022 </w:t>
            </w:r>
            <w:hyperlink w:history="0" r:id="rId51" w:tooltip="Постановление Правительства РФ от 18.10.2022 N 1855 &quot;О внесении изменений в приложения N 12, 28 и 29 к государственной программе Российской Федерации &quot;Развитие энергетики&quot; {КонсультантПлюс}">
              <w:r>
                <w:rPr>
                  <w:sz w:val="20"/>
                  <w:color w:val="0000ff"/>
                </w:rPr>
                <w:t xml:space="preserve">N 1855</w:t>
              </w:r>
            </w:hyperlink>
            <w:r>
              <w:rPr>
                <w:sz w:val="20"/>
                <w:color w:val="392c69"/>
              </w:rPr>
              <w:t xml:space="preserve">, от 27.06.2024 </w:t>
            </w:r>
            <w:hyperlink w:history="0" r:id="rId52"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N 873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Размер субсидии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(далее - субсидия), определяется равным размеру скидки, предоставленной юридическими лицами и индивидуальными предпринимателями, выполняющими работы по переоборудованию транспортных средств на использование природного газа (метана) в качестве моторного топлива, владельцу транспортного средства, но не более одной трети (не более двух третей, если владельцем переоборудованного транспортного средства (в том числе на основании договора лизинга) является физическое лицо или юридическое лицо - субъект малого или среднего предпринимательства) общей стоимости работ по такому переоборудованию (включая стоимость газобаллонного оборудования) и не более максимального размера, указанного в </w:t>
      </w:r>
      <w:hyperlink w:history="0" w:anchor="P158" w:tooltip="Таблица">
        <w:r>
          <w:rPr>
            <w:sz w:val="20"/>
            <w:color w:val="0000ff"/>
          </w:rPr>
          <w:t xml:space="preserve">таблице</w:t>
        </w:r>
      </w:hyperlink>
      <w:r>
        <w:rPr>
          <w:sz w:val="20"/>
        </w:rPr>
        <w:t xml:space="preserve"> к настоящему документу.</w:t>
      </w:r>
    </w:p>
    <w:p>
      <w:pPr>
        <w:pStyle w:val="0"/>
        <w:jc w:val="both"/>
      </w:pPr>
      <w:r>
        <w:rPr>
          <w:sz w:val="20"/>
        </w:rPr>
        <w:t xml:space="preserve">(в ред. Постановлений Правительства РФ от 19.06.2020 </w:t>
      </w:r>
      <w:hyperlink w:history="0" r:id="rId53" w:tooltip="Постановление Правительства РФ от 19.06.2020 N 886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886</w:t>
        </w:r>
      </w:hyperlink>
      <w:r>
        <w:rPr>
          <w:sz w:val="20"/>
        </w:rPr>
        <w:t xml:space="preserve">, от 21.01.2021 </w:t>
      </w:r>
      <w:hyperlink w:history="0" r:id="rId54" w:tooltip="Постановление Правительства РФ от 21.01.2021 N 29 &quot;О внесении изменений в приложение N 2 к Правилам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предусмотренным приложением N 29 к госуд {КонсультантПлюс}">
        <w:r>
          <w:rPr>
            <w:sz w:val="20"/>
            <w:color w:val="0000ff"/>
          </w:rPr>
          <w:t xml:space="preserve">N 29</w:t>
        </w:r>
      </w:hyperlink>
      <w:r>
        <w:rPr>
          <w:sz w:val="20"/>
        </w:rPr>
        <w:t xml:space="preserve">, от 18.10.2022 </w:t>
      </w:r>
      <w:hyperlink w:history="0" r:id="rId55" w:tooltip="Постановление Правительства РФ от 18.10.2022 N 1855 &quot;О внесении изменений в приложения N 12, 28 и 29 к государственной программе Российской Федерации &quot;Развитие энергетики&quot; {КонсультантПлюс}">
        <w:r>
          <w:rPr>
            <w:sz w:val="20"/>
            <w:color w:val="0000ff"/>
          </w:rPr>
          <w:t xml:space="preserve">N 1855</w:t>
        </w:r>
      </w:hyperlink>
      <w:r>
        <w:rPr>
          <w:sz w:val="20"/>
        </w:rPr>
        <w:t xml:space="preserve">)</w:t>
      </w:r>
    </w:p>
    <w:p>
      <w:pPr>
        <w:pStyle w:val="0"/>
        <w:spacing w:before="200" w:line-rule="auto"/>
        <w:ind w:firstLine="540"/>
        <w:jc w:val="both"/>
      </w:pPr>
      <w:r>
        <w:rPr>
          <w:sz w:val="20"/>
        </w:rPr>
        <w:t xml:space="preserve">В случае участия юридического лица или индивидуального предпринимателя, выполняющих работы по переоборудованию транспортных средств на использование природного газа (метана) в качестве моторного топлива, владельца транспортного средства в иных программах стимулирования переоборудования транспортных средств на использование природного газа (метана) в качестве моторного топлива (в том числе за счет средств бюджета субъекта Российской Федерации, местного бюджета, внебюджетных источников) размер субсидии определяется исходя из полной стоимости работ по переоборудованию без учета эффекта от участия в таких дополнительных программах.</w:t>
      </w:r>
    </w:p>
    <w:p>
      <w:pPr>
        <w:pStyle w:val="0"/>
        <w:spacing w:before="200" w:line-rule="auto"/>
        <w:ind w:firstLine="540"/>
        <w:jc w:val="both"/>
      </w:pPr>
      <w:r>
        <w:rPr>
          <w:sz w:val="20"/>
        </w:rPr>
        <w:t xml:space="preserve">Настоящий документ устанавливает общие требования только в части расходов, софинансируемых в рамках субсидии из федерального бюджета. Субъектом Российской Федерации могут быть установлены иные размеры субсидии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части средств, выделяемых непосредственно из бюджета субъекта Российской Федерации.</w:t>
      </w:r>
    </w:p>
    <w:p>
      <w:pPr>
        <w:pStyle w:val="0"/>
        <w:jc w:val="both"/>
      </w:pPr>
      <w:r>
        <w:rPr>
          <w:sz w:val="20"/>
        </w:rPr>
      </w:r>
    </w:p>
    <w:bookmarkStart w:id="158" w:name="P158"/>
    <w:bookmarkEnd w:id="158"/>
    <w:p>
      <w:pPr>
        <w:pStyle w:val="0"/>
        <w:jc w:val="right"/>
      </w:pPr>
      <w:r>
        <w:rPr>
          <w:sz w:val="20"/>
        </w:rPr>
        <w:t xml:space="preserve">Таблица</w:t>
      </w:r>
    </w:p>
    <w:p>
      <w:pPr>
        <w:pStyle w:val="0"/>
        <w:jc w:val="center"/>
      </w:pPr>
      <w:r>
        <w:rPr>
          <w:sz w:val="20"/>
        </w:rPr>
      </w:r>
    </w:p>
    <w:p>
      <w:pPr>
        <w:pStyle w:val="0"/>
        <w:jc w:val="center"/>
      </w:pPr>
      <w:r>
        <w:rPr>
          <w:sz w:val="20"/>
        </w:rPr>
        <w:t xml:space="preserve">(в ред. </w:t>
      </w:r>
      <w:hyperlink w:history="0" r:id="rId56"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Постановления</w:t>
        </w:r>
      </w:hyperlink>
      <w:r>
        <w:rPr>
          <w:sz w:val="20"/>
        </w:rPr>
        <w:t xml:space="preserve"> Правительства РФ от 27.06.2024 N 873)</w:t>
      </w:r>
    </w:p>
    <w:p>
      <w:pPr>
        <w:pStyle w:val="0"/>
        <w:jc w:val="both"/>
      </w:pPr>
      <w:r>
        <w:rPr>
          <w:sz w:val="20"/>
        </w:rPr>
      </w:r>
    </w:p>
    <w:p>
      <w:pPr>
        <w:pStyle w:val="0"/>
        <w:jc w:val="right"/>
      </w:pPr>
      <w:r>
        <w:rPr>
          <w:sz w:val="20"/>
        </w:rPr>
        <w:t xml:space="preserve">(тыс. рублей)</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7070"/>
        <w:gridCol w:w="1984"/>
      </w:tblGrid>
      <w:tr>
        <w:tblPrEx>
          <w:tblBorders>
            <w:insideV w:val="single" w:sz="4"/>
            <w:insideH w:val="single" w:sz="4"/>
          </w:tblBorders>
        </w:tblPrEx>
        <w:tc>
          <w:tcPr>
            <w:tcW w:w="7070" w:type="dxa"/>
            <w:tcBorders>
              <w:top w:val="single" w:sz="4"/>
              <w:left w:val="nil"/>
              <w:bottom w:val="single" w:sz="4"/>
            </w:tcBorders>
          </w:tcPr>
          <w:p>
            <w:pPr>
              <w:pStyle w:val="0"/>
              <w:jc w:val="center"/>
            </w:pPr>
            <w:r>
              <w:rPr>
                <w:sz w:val="20"/>
              </w:rPr>
              <w:t xml:space="preserve">Вид транспортного средства</w:t>
            </w:r>
          </w:p>
        </w:tc>
        <w:tc>
          <w:tcPr>
            <w:tcW w:w="1984" w:type="dxa"/>
            <w:tcBorders>
              <w:top w:val="single" w:sz="4"/>
              <w:bottom w:val="single" w:sz="4"/>
              <w:right w:val="nil"/>
            </w:tcBorders>
          </w:tcPr>
          <w:p>
            <w:pPr>
              <w:pStyle w:val="0"/>
              <w:jc w:val="center"/>
            </w:pPr>
            <w:r>
              <w:rPr>
                <w:sz w:val="20"/>
              </w:rPr>
              <w:t xml:space="preserve">Максимальный размер субсидии</w:t>
            </w:r>
          </w:p>
        </w:tc>
      </w:tr>
      <w:tr>
        <w:tc>
          <w:tcPr>
            <w:tcW w:w="7070" w:type="dxa"/>
            <w:tcBorders>
              <w:top w:val="single" w:sz="4"/>
              <w:left w:val="nil"/>
              <w:bottom w:val="nil"/>
              <w:right w:val="nil"/>
            </w:tcBorders>
          </w:tcPr>
          <w:p>
            <w:pPr>
              <w:pStyle w:val="0"/>
            </w:pPr>
            <w:r>
              <w:rPr>
                <w:sz w:val="20"/>
              </w:rPr>
              <w:t xml:space="preserve">Легковой автомобиль</w:t>
            </w:r>
          </w:p>
        </w:tc>
        <w:tc>
          <w:tcPr>
            <w:tcW w:w="1984" w:type="dxa"/>
            <w:tcBorders>
              <w:top w:val="single" w:sz="4"/>
              <w:left w:val="nil"/>
              <w:bottom w:val="nil"/>
              <w:right w:val="nil"/>
            </w:tcBorders>
          </w:tcPr>
          <w:p>
            <w:pPr>
              <w:pStyle w:val="0"/>
            </w:pPr>
            <w:r>
              <w:rPr>
                <w:sz w:val="20"/>
              </w:rPr>
            </w:r>
          </w:p>
        </w:tc>
      </w:tr>
      <w:tr>
        <w:tc>
          <w:tcPr>
            <w:tcW w:w="7070" w:type="dxa"/>
            <w:tcBorders>
              <w:top w:val="nil"/>
              <w:left w:val="nil"/>
              <w:bottom w:val="nil"/>
              <w:right w:val="nil"/>
            </w:tcBorders>
          </w:tcPr>
          <w:p>
            <w:pPr>
              <w:pStyle w:val="0"/>
              <w:ind w:left="283"/>
            </w:pPr>
            <w:r>
              <w:rPr>
                <w:sz w:val="20"/>
              </w:rPr>
              <w:t xml:space="preserve">максимальной разрешенной массой до 1800 кг</w:t>
            </w:r>
          </w:p>
        </w:tc>
        <w:tc>
          <w:tcPr>
            <w:tcW w:w="1984" w:type="dxa"/>
            <w:tcBorders>
              <w:top w:val="nil"/>
              <w:left w:val="nil"/>
              <w:bottom w:val="nil"/>
              <w:right w:val="nil"/>
            </w:tcBorders>
          </w:tcPr>
          <w:p>
            <w:pPr>
              <w:pStyle w:val="0"/>
              <w:jc w:val="center"/>
            </w:pPr>
            <w:r>
              <w:rPr>
                <w:sz w:val="20"/>
              </w:rPr>
              <w:t xml:space="preserve">32</w:t>
            </w:r>
          </w:p>
        </w:tc>
      </w:tr>
      <w:tr>
        <w:tc>
          <w:tcPr>
            <w:tcW w:w="7070" w:type="dxa"/>
            <w:tcBorders>
              <w:top w:val="nil"/>
              <w:left w:val="nil"/>
              <w:bottom w:val="nil"/>
              <w:right w:val="nil"/>
            </w:tcBorders>
          </w:tcPr>
          <w:p>
            <w:pPr>
              <w:pStyle w:val="0"/>
              <w:ind w:left="283"/>
            </w:pPr>
            <w:r>
              <w:rPr>
                <w:sz w:val="20"/>
              </w:rPr>
              <w:t xml:space="preserve">максимальной разрешенной массой от 1801 кг до 2499 кг</w:t>
            </w:r>
          </w:p>
        </w:tc>
        <w:tc>
          <w:tcPr>
            <w:tcW w:w="1984" w:type="dxa"/>
            <w:tcBorders>
              <w:top w:val="nil"/>
              <w:left w:val="nil"/>
              <w:bottom w:val="nil"/>
              <w:right w:val="nil"/>
            </w:tcBorders>
          </w:tcPr>
          <w:p>
            <w:pPr>
              <w:pStyle w:val="0"/>
              <w:jc w:val="center"/>
            </w:pPr>
            <w:r>
              <w:rPr>
                <w:sz w:val="20"/>
              </w:rPr>
              <w:t xml:space="preserve">40</w:t>
            </w:r>
          </w:p>
        </w:tc>
      </w:tr>
      <w:tr>
        <w:tc>
          <w:tcPr>
            <w:tcW w:w="7070" w:type="dxa"/>
            <w:tcBorders>
              <w:top w:val="nil"/>
              <w:left w:val="nil"/>
              <w:bottom w:val="nil"/>
              <w:right w:val="nil"/>
            </w:tcBorders>
          </w:tcPr>
          <w:p>
            <w:pPr>
              <w:pStyle w:val="0"/>
              <w:ind w:left="283"/>
            </w:pPr>
            <w:r>
              <w:rPr>
                <w:sz w:val="20"/>
              </w:rPr>
              <w:t xml:space="preserve">максимальной разрешенной массой 2500 кг и выше</w:t>
            </w:r>
          </w:p>
        </w:tc>
        <w:tc>
          <w:tcPr>
            <w:tcW w:w="1984" w:type="dxa"/>
            <w:tcBorders>
              <w:top w:val="nil"/>
              <w:left w:val="nil"/>
              <w:bottom w:val="nil"/>
              <w:right w:val="nil"/>
            </w:tcBorders>
          </w:tcPr>
          <w:p>
            <w:pPr>
              <w:pStyle w:val="0"/>
              <w:jc w:val="center"/>
            </w:pPr>
            <w:r>
              <w:rPr>
                <w:sz w:val="20"/>
              </w:rPr>
              <w:t xml:space="preserve">49</w:t>
            </w:r>
          </w:p>
        </w:tc>
      </w:tr>
      <w:tr>
        <w:tc>
          <w:tcPr>
            <w:tcW w:w="7070" w:type="dxa"/>
            <w:tcBorders>
              <w:top w:val="nil"/>
              <w:left w:val="nil"/>
              <w:bottom w:val="nil"/>
              <w:right w:val="nil"/>
            </w:tcBorders>
          </w:tcPr>
          <w:p>
            <w:pPr>
              <w:pStyle w:val="0"/>
            </w:pPr>
            <w:r>
              <w:rPr>
                <w:sz w:val="20"/>
              </w:rPr>
              <w:t xml:space="preserve">Легкий грузовой транспорт</w:t>
            </w:r>
          </w:p>
        </w:tc>
        <w:tc>
          <w:tcPr>
            <w:tcW w:w="1984" w:type="dxa"/>
            <w:tcBorders>
              <w:top w:val="nil"/>
              <w:left w:val="nil"/>
              <w:bottom w:val="nil"/>
              <w:right w:val="nil"/>
            </w:tcBorders>
          </w:tcPr>
          <w:p>
            <w:pPr>
              <w:pStyle w:val="0"/>
              <w:jc w:val="center"/>
            </w:pPr>
            <w:r>
              <w:rPr>
                <w:sz w:val="20"/>
              </w:rPr>
              <w:t xml:space="preserve">56</w:t>
            </w:r>
          </w:p>
        </w:tc>
      </w:tr>
      <w:tr>
        <w:tc>
          <w:tcPr>
            <w:tcW w:w="7070" w:type="dxa"/>
            <w:tcBorders>
              <w:top w:val="nil"/>
              <w:left w:val="nil"/>
              <w:bottom w:val="nil"/>
              <w:right w:val="nil"/>
            </w:tcBorders>
          </w:tcPr>
          <w:p>
            <w:pPr>
              <w:pStyle w:val="0"/>
            </w:pPr>
            <w:r>
              <w:rPr>
                <w:sz w:val="20"/>
              </w:rPr>
              <w:t xml:space="preserve">(транспортные средства категории N 1 в соответствии с классификацией транспортных средств по категориям, установленной техническим </w:t>
            </w:r>
            <w:hyperlink w:history="0" r:id="rId57"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регламентом</w:t>
              </w:r>
            </w:hyperlink>
            <w:r>
              <w:rPr>
                <w:sz w:val="20"/>
              </w:rPr>
              <w:t xml:space="preserve"> Таможенного союза "О безопасности колесных транспортных средств")</w:t>
            </w:r>
          </w:p>
        </w:tc>
        <w:tc>
          <w:tcPr>
            <w:tcW w:w="1984" w:type="dxa"/>
            <w:tcBorders>
              <w:top w:val="nil"/>
              <w:left w:val="nil"/>
              <w:bottom w:val="nil"/>
              <w:right w:val="nil"/>
            </w:tcBorders>
          </w:tcPr>
          <w:p>
            <w:pPr>
              <w:pStyle w:val="0"/>
              <w:jc w:val="center"/>
            </w:pPr>
            <w:r>
              <w:rPr>
                <w:sz w:val="20"/>
              </w:rPr>
            </w:r>
          </w:p>
        </w:tc>
      </w:tr>
      <w:tr>
        <w:tc>
          <w:tcPr>
            <w:tcW w:w="7070" w:type="dxa"/>
            <w:tcBorders>
              <w:top w:val="nil"/>
              <w:left w:val="nil"/>
              <w:bottom w:val="nil"/>
              <w:right w:val="nil"/>
            </w:tcBorders>
          </w:tcPr>
          <w:p>
            <w:pPr>
              <w:pStyle w:val="0"/>
            </w:pPr>
            <w:r>
              <w:rPr>
                <w:sz w:val="20"/>
              </w:rPr>
              <w:t xml:space="preserve">Автобус (до 8 м)</w:t>
            </w:r>
          </w:p>
        </w:tc>
        <w:tc>
          <w:tcPr>
            <w:tcW w:w="1984" w:type="dxa"/>
            <w:tcBorders>
              <w:top w:val="nil"/>
              <w:left w:val="nil"/>
              <w:bottom w:val="nil"/>
              <w:right w:val="nil"/>
            </w:tcBorders>
          </w:tcPr>
          <w:p>
            <w:pPr>
              <w:pStyle w:val="0"/>
              <w:jc w:val="center"/>
            </w:pPr>
            <w:r>
              <w:rPr>
                <w:sz w:val="20"/>
              </w:rPr>
              <w:t xml:space="preserve">74</w:t>
            </w:r>
          </w:p>
        </w:tc>
      </w:tr>
      <w:tr>
        <w:tc>
          <w:tcPr>
            <w:tcW w:w="7070" w:type="dxa"/>
            <w:tcBorders>
              <w:top w:val="nil"/>
              <w:left w:val="nil"/>
              <w:bottom w:val="nil"/>
              <w:right w:val="nil"/>
            </w:tcBorders>
          </w:tcPr>
          <w:p>
            <w:pPr>
              <w:pStyle w:val="0"/>
            </w:pPr>
            <w:r>
              <w:rPr>
                <w:sz w:val="20"/>
              </w:rPr>
              <w:t xml:space="preserve">Автобус (свыше 8 м)</w:t>
            </w:r>
          </w:p>
        </w:tc>
        <w:tc>
          <w:tcPr>
            <w:tcW w:w="1984" w:type="dxa"/>
            <w:tcBorders>
              <w:top w:val="nil"/>
              <w:left w:val="nil"/>
              <w:bottom w:val="nil"/>
              <w:right w:val="nil"/>
            </w:tcBorders>
          </w:tcPr>
          <w:p>
            <w:pPr>
              <w:pStyle w:val="0"/>
              <w:jc w:val="center"/>
            </w:pPr>
            <w:r>
              <w:rPr>
                <w:sz w:val="20"/>
              </w:rPr>
              <w:t xml:space="preserve">130</w:t>
            </w:r>
          </w:p>
        </w:tc>
      </w:tr>
      <w:tr>
        <w:tc>
          <w:tcPr>
            <w:tcW w:w="7070" w:type="dxa"/>
            <w:tcBorders>
              <w:top w:val="nil"/>
              <w:left w:val="nil"/>
              <w:bottom w:val="nil"/>
              <w:right w:val="nil"/>
            </w:tcBorders>
          </w:tcPr>
          <w:p>
            <w:pPr>
              <w:pStyle w:val="0"/>
            </w:pPr>
            <w:r>
              <w:rPr>
                <w:sz w:val="20"/>
              </w:rPr>
              <w:t xml:space="preserve">Грузовой автомобиль, кроме легкого грузового транспорта и магистрального тягача (перевод в газовый и битопливный, в том числе газодизельный, циклы)</w:t>
            </w:r>
          </w:p>
        </w:tc>
        <w:tc>
          <w:tcPr>
            <w:tcW w:w="1984" w:type="dxa"/>
            <w:tcBorders>
              <w:top w:val="nil"/>
              <w:left w:val="nil"/>
              <w:bottom w:val="nil"/>
              <w:right w:val="nil"/>
            </w:tcBorders>
          </w:tcPr>
          <w:p>
            <w:pPr>
              <w:pStyle w:val="0"/>
              <w:jc w:val="center"/>
            </w:pPr>
            <w:r>
              <w:rPr>
                <w:sz w:val="20"/>
              </w:rPr>
              <w:t xml:space="preserve">133</w:t>
            </w:r>
          </w:p>
        </w:tc>
      </w:tr>
      <w:tr>
        <w:tc>
          <w:tcPr>
            <w:tcW w:w="7070" w:type="dxa"/>
            <w:tcBorders>
              <w:top w:val="nil"/>
              <w:left w:val="nil"/>
              <w:bottom w:val="nil"/>
              <w:right w:val="nil"/>
            </w:tcBorders>
          </w:tcPr>
          <w:p>
            <w:pPr>
              <w:pStyle w:val="0"/>
            </w:pPr>
            <w:r>
              <w:rPr>
                <w:sz w:val="20"/>
              </w:rPr>
              <w:t xml:space="preserve">Грузовой автомобиль, кроме легкого грузового транспорта (перевод в газовый цикл - ремоторизация с установкой двигателя, предназначенного для работы на природном газе)</w:t>
            </w:r>
          </w:p>
        </w:tc>
        <w:tc>
          <w:tcPr>
            <w:tcW w:w="1984" w:type="dxa"/>
            <w:tcBorders>
              <w:top w:val="nil"/>
              <w:left w:val="nil"/>
              <w:bottom w:val="nil"/>
              <w:right w:val="nil"/>
            </w:tcBorders>
          </w:tcPr>
          <w:p>
            <w:pPr>
              <w:pStyle w:val="0"/>
              <w:jc w:val="center"/>
            </w:pPr>
            <w:r>
              <w:rPr>
                <w:sz w:val="20"/>
              </w:rPr>
              <w:t xml:space="preserve">500</w:t>
            </w:r>
          </w:p>
        </w:tc>
      </w:tr>
      <w:tr>
        <w:tc>
          <w:tcPr>
            <w:tcW w:w="7070" w:type="dxa"/>
            <w:tcBorders>
              <w:top w:val="nil"/>
              <w:left w:val="nil"/>
              <w:bottom w:val="single" w:sz="4"/>
              <w:right w:val="nil"/>
            </w:tcBorders>
          </w:tcPr>
          <w:p>
            <w:pPr>
              <w:pStyle w:val="0"/>
            </w:pPr>
            <w:r>
              <w:rPr>
                <w:sz w:val="20"/>
              </w:rPr>
              <w:t xml:space="preserve">Магистральный тягач</w:t>
            </w:r>
          </w:p>
        </w:tc>
        <w:tc>
          <w:tcPr>
            <w:tcW w:w="1984" w:type="dxa"/>
            <w:tcBorders>
              <w:top w:val="nil"/>
              <w:left w:val="nil"/>
              <w:bottom w:val="single" w:sz="4"/>
              <w:right w:val="nil"/>
            </w:tcBorders>
          </w:tcPr>
          <w:p>
            <w:pPr>
              <w:pStyle w:val="0"/>
              <w:jc w:val="center"/>
            </w:pPr>
            <w:r>
              <w:rPr>
                <w:sz w:val="20"/>
              </w:rPr>
              <w:t xml:space="preserve">172</w:t>
            </w:r>
          </w:p>
        </w:tc>
      </w:tr>
    </w:tbl>
    <w:p>
      <w:pPr>
        <w:pStyle w:val="0"/>
        <w:jc w:val="both"/>
      </w:pPr>
      <w:r>
        <w:rPr>
          <w:sz w:val="20"/>
        </w:rPr>
      </w:r>
    </w:p>
    <w:p>
      <w:pPr>
        <w:pStyle w:val="0"/>
        <w:ind w:firstLine="540"/>
        <w:jc w:val="both"/>
      </w:pPr>
      <w:r>
        <w:rPr>
          <w:sz w:val="20"/>
        </w:rPr>
        <w:t xml:space="preserve">Масса транспортного средства определяется согласно свидетельству о регистрации транспортного средства.</w:t>
      </w:r>
    </w:p>
    <w:p>
      <w:pPr>
        <w:pStyle w:val="0"/>
        <w:spacing w:before="200" w:line-rule="auto"/>
        <w:ind w:firstLine="540"/>
        <w:jc w:val="both"/>
      </w:pPr>
      <w:r>
        <w:rPr>
          <w:sz w:val="20"/>
        </w:rPr>
        <w:t xml:space="preserve">В случае если владельцем транспортного средства, переоборудованного на использование природного газа (метана) в качестве моторного топлива (в том числе на основании договора лизинга), является физическое лицо или юридическое лицо - субъект малого или среднего предпринимательства, максимальный размер субсидии, указанный в таблице, умножается на коэффициент 2.</w:t>
      </w:r>
    </w:p>
    <w:p>
      <w:pPr>
        <w:pStyle w:val="0"/>
        <w:jc w:val="both"/>
      </w:pPr>
      <w:r>
        <w:rPr>
          <w:sz w:val="20"/>
        </w:rPr>
        <w:t xml:space="preserve">(в ред. </w:t>
      </w:r>
      <w:hyperlink w:history="0" r:id="rId58"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возникающих при поддержке</w:t>
      </w:r>
    </w:p>
    <w:p>
      <w:pPr>
        <w:pStyle w:val="0"/>
        <w:jc w:val="right"/>
      </w:pPr>
      <w:r>
        <w:rPr>
          <w:sz w:val="20"/>
        </w:rPr>
        <w:t xml:space="preserve">переоборудования существующей</w:t>
      </w:r>
    </w:p>
    <w:p>
      <w:pPr>
        <w:pStyle w:val="0"/>
        <w:jc w:val="right"/>
      </w:pPr>
      <w:r>
        <w:rPr>
          <w:sz w:val="20"/>
        </w:rPr>
        <w:t xml:space="preserve">автомобильной техники, включая</w:t>
      </w:r>
    </w:p>
    <w:p>
      <w:pPr>
        <w:pStyle w:val="0"/>
        <w:jc w:val="right"/>
      </w:pPr>
      <w:r>
        <w:rPr>
          <w:sz w:val="20"/>
        </w:rPr>
        <w:t xml:space="preserve">общественный транспорт и коммунальную</w:t>
      </w:r>
    </w:p>
    <w:p>
      <w:pPr>
        <w:pStyle w:val="0"/>
        <w:jc w:val="right"/>
      </w:pPr>
      <w:r>
        <w:rPr>
          <w:sz w:val="20"/>
        </w:rPr>
        <w:t xml:space="preserve">технику, для использования природного</w:t>
      </w:r>
    </w:p>
    <w:p>
      <w:pPr>
        <w:pStyle w:val="0"/>
        <w:jc w:val="right"/>
      </w:pPr>
      <w:r>
        <w:rPr>
          <w:sz w:val="20"/>
        </w:rPr>
        <w:t xml:space="preserve">газа в качестве топлива</w:t>
      </w:r>
    </w:p>
    <w:p>
      <w:pPr>
        <w:pStyle w:val="0"/>
        <w:jc w:val="both"/>
      </w:pPr>
      <w:r>
        <w:rPr>
          <w:sz w:val="20"/>
        </w:rPr>
      </w:r>
    </w:p>
    <w:bookmarkStart w:id="210" w:name="P210"/>
    <w:bookmarkEnd w:id="210"/>
    <w:p>
      <w:pPr>
        <w:pStyle w:val="2"/>
        <w:jc w:val="center"/>
      </w:pPr>
      <w:r>
        <w:rPr>
          <w:sz w:val="20"/>
        </w:rPr>
        <w:t xml:space="preserve">ТРЕБОВАНИЯ</w:t>
      </w:r>
    </w:p>
    <w:p>
      <w:pPr>
        <w:pStyle w:val="2"/>
        <w:jc w:val="center"/>
      </w:pPr>
      <w:r>
        <w:rPr>
          <w:sz w:val="20"/>
        </w:rPr>
        <w:t xml:space="preserve">К ИСПОЛЬЗУЕМОМУ ГАЗОБАЛЛОННОМУ ОБОРУДОВАНИЮ,</w:t>
      </w:r>
    </w:p>
    <w:p>
      <w:pPr>
        <w:pStyle w:val="2"/>
        <w:jc w:val="center"/>
      </w:pPr>
      <w:r>
        <w:rPr>
          <w:sz w:val="20"/>
        </w:rPr>
        <w:t xml:space="preserve">ЕГО КОМПОНЕНТАМ, КОМПЛЕКТУЮЩИМ И ВЫПОЛНЯЕМЫМ РАБОТАМ</w:t>
      </w:r>
    </w:p>
    <w:p>
      <w:pPr>
        <w:pStyle w:val="2"/>
        <w:jc w:val="center"/>
      </w:pPr>
      <w:r>
        <w:rPr>
          <w:sz w:val="20"/>
        </w:rPr>
        <w:t xml:space="preserve">ПО ПЕРЕОБОРУДОВАНИЮ ТРАНСПОРТНЫХ СРЕДСТВ НА ИСПОЛЬЗОВАНИЕ</w:t>
      </w:r>
    </w:p>
    <w:p>
      <w:pPr>
        <w:pStyle w:val="2"/>
        <w:jc w:val="center"/>
      </w:pPr>
      <w:r>
        <w:rPr>
          <w:sz w:val="20"/>
        </w:rPr>
        <w:t xml:space="preserve">ПРИРОДНОГО ГАЗА (МЕТАНА) В КАЧЕСТВЕ МОТОРНОГО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23.04.2020 </w:t>
            </w:r>
            <w:hyperlink w:history="0" r:id="rId59" w:tooltip="Постановление Правительства РФ от 23.04.2020 N 567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567</w:t>
              </w:r>
            </w:hyperlink>
            <w:r>
              <w:rPr>
                <w:sz w:val="20"/>
                <w:color w:val="392c69"/>
              </w:rPr>
              <w:t xml:space="preserve">,</w:t>
            </w:r>
          </w:p>
          <w:p>
            <w:pPr>
              <w:pStyle w:val="0"/>
              <w:jc w:val="center"/>
            </w:pPr>
            <w:r>
              <w:rPr>
                <w:sz w:val="20"/>
                <w:color w:val="392c69"/>
              </w:rPr>
              <w:t xml:space="preserve">от 03.06.2020 </w:t>
            </w:r>
            <w:hyperlink w:history="0" r:id="rId60" w:tooltip="Постановление Правительства РФ от 03.06.2020 N 812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812</w:t>
              </w:r>
            </w:hyperlink>
            <w:r>
              <w:rPr>
                <w:sz w:val="20"/>
                <w:color w:val="392c69"/>
              </w:rPr>
              <w:t xml:space="preserve">, от 19.06.2020 </w:t>
            </w:r>
            <w:hyperlink w:history="0" r:id="rId61" w:tooltip="Постановление Правительства РФ от 19.06.2020 N 886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886</w:t>
              </w:r>
            </w:hyperlink>
            <w:r>
              <w:rPr>
                <w:sz w:val="20"/>
                <w:color w:val="392c69"/>
              </w:rPr>
              <w:t xml:space="preserve">, от 31.07.2021 </w:t>
            </w:r>
            <w:hyperlink w:history="0" r:id="rId62" w:tooltip="Постановление Правительства РФ от 31.07.2021 N 1294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1294</w:t>
              </w:r>
            </w:hyperlink>
            <w:r>
              <w:rPr>
                <w:sz w:val="20"/>
                <w:color w:val="392c69"/>
              </w:rPr>
              <w:t xml:space="preserve">,</w:t>
            </w:r>
          </w:p>
          <w:p>
            <w:pPr>
              <w:pStyle w:val="0"/>
              <w:jc w:val="center"/>
            </w:pPr>
            <w:r>
              <w:rPr>
                <w:sz w:val="20"/>
                <w:color w:val="392c69"/>
              </w:rPr>
              <w:t xml:space="preserve">от 17.08.2022 </w:t>
            </w:r>
            <w:hyperlink w:history="0" r:id="rId63"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N 1427</w:t>
              </w:r>
            </w:hyperlink>
            <w:r>
              <w:rPr>
                <w:sz w:val="20"/>
                <w:color w:val="392c69"/>
              </w:rPr>
              <w:t xml:space="preserve">, от 22.04.2023 </w:t>
            </w:r>
            <w:hyperlink w:history="0" r:id="rId64" w:tooltip="Постановление Правительства РФ от 22.04.2023 N 636 &quot;О внесении изменений в приложения N 28 и 29 к государственной программе Российской Федерации &quot;Развитие энергетик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636</w:t>
              </w:r>
            </w:hyperlink>
            <w:r>
              <w:rPr>
                <w:sz w:val="20"/>
                <w:color w:val="392c69"/>
              </w:rPr>
              <w:t xml:space="preserve">, от 27.06.2024 </w:t>
            </w:r>
            <w:hyperlink w:history="0" r:id="rId65"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N 873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Требования к используемому газобаллонному оборудованию, его компонентам и комплектующим (далее - оборудование):</w:t>
      </w:r>
    </w:p>
    <w:p>
      <w:pPr>
        <w:pStyle w:val="0"/>
        <w:spacing w:before="200" w:line-rule="auto"/>
        <w:ind w:firstLine="540"/>
        <w:jc w:val="both"/>
      </w:pPr>
      <w:r>
        <w:rPr>
          <w:sz w:val="20"/>
        </w:rPr>
        <w:t xml:space="preserve">соответствие типа газобаллонного оборудования требованиям Правил Европейской экономической комиссии ООН (ЕЭК ООН N 115-02) "Единообразные предписания, касающиеся официального утверждения специальных модифицированных систем спг (сжатый природный газ), предназначенных для установки на механических транспортных средствах, в двигателях которых используется спг", подтвержденное сертификатом соответствия;</w:t>
      </w:r>
    </w:p>
    <w:p>
      <w:pPr>
        <w:pStyle w:val="0"/>
        <w:spacing w:before="200" w:line-rule="auto"/>
        <w:ind w:firstLine="540"/>
        <w:jc w:val="both"/>
      </w:pPr>
      <w:r>
        <w:rPr>
          <w:sz w:val="20"/>
        </w:rPr>
        <w:t xml:space="preserve">соответствие использованных элементов (компонентов) оборудования требованиям Правил Европейской экономической комиссии ООН (ЕЭК ООН N 110) "Единообразные предписания, касающиеся официального утверждения: I. элементов специального оборудования механических транспортных средств, двигатели которых работают на компримированном природном газе (КПГ) и/или сжиженном природном газе (СПГ) II.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(КПГ) и/или сжиженного природного газа (СПГ)", подтвержденное сертификатом соответствия;</w:t>
      </w:r>
    </w:p>
    <w:p>
      <w:pPr>
        <w:pStyle w:val="0"/>
        <w:spacing w:before="200" w:line-rule="auto"/>
        <w:ind w:firstLine="540"/>
        <w:jc w:val="both"/>
      </w:pPr>
      <w:r>
        <w:rPr>
          <w:sz w:val="20"/>
        </w:rPr>
        <w:t xml:space="preserve">оборудование должно быть новым (ранее не бывшим в употреблении);</w:t>
      </w:r>
    </w:p>
    <w:p>
      <w:pPr>
        <w:pStyle w:val="0"/>
        <w:spacing w:before="200" w:line-rule="auto"/>
        <w:ind w:firstLine="540"/>
        <w:jc w:val="both"/>
      </w:pPr>
      <w:r>
        <w:rPr>
          <w:sz w:val="20"/>
        </w:rPr>
        <w:t xml:space="preserve">газовый баллон должен быть выпущен не ранее чем за 30 месяцев до 1 января текущего года и оснащен автоматическим вентилем с предохранительным устройством;</w:t>
      </w:r>
    </w:p>
    <w:p>
      <w:pPr>
        <w:pStyle w:val="0"/>
        <w:jc w:val="both"/>
      </w:pPr>
      <w:r>
        <w:rPr>
          <w:sz w:val="20"/>
        </w:rPr>
        <w:t xml:space="preserve">(в ред. </w:t>
      </w:r>
      <w:hyperlink w:history="0" r:id="rId66"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Постановления</w:t>
        </w:r>
      </w:hyperlink>
      <w:r>
        <w:rPr>
          <w:sz w:val="20"/>
        </w:rPr>
        <w:t xml:space="preserve"> Правительства РФ от 27.06.2024 N 873)</w:t>
      </w:r>
    </w:p>
    <w:p>
      <w:pPr>
        <w:pStyle w:val="0"/>
        <w:spacing w:before="200" w:line-rule="auto"/>
        <w:ind w:firstLine="540"/>
        <w:jc w:val="both"/>
      </w:pPr>
      <w:r>
        <w:rPr>
          <w:sz w:val="20"/>
        </w:rPr>
        <w:t xml:space="preserve">газовый баллон должен быть отечественного производства: для баллона I типа - начиная с 2025 года, для баллона II типа - начиная с 2026 года, для баллона III типа - начиная с 2020 года.</w:t>
      </w:r>
    </w:p>
    <w:p>
      <w:pPr>
        <w:pStyle w:val="0"/>
        <w:jc w:val="both"/>
      </w:pPr>
      <w:r>
        <w:rPr>
          <w:sz w:val="20"/>
        </w:rPr>
        <w:t xml:space="preserve">(в ред. </w:t>
      </w:r>
      <w:hyperlink w:history="0" r:id="rId67"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Постановления</w:t>
        </w:r>
      </w:hyperlink>
      <w:r>
        <w:rPr>
          <w:sz w:val="20"/>
        </w:rPr>
        <w:t xml:space="preserve"> Правительства РФ от 27.06.2024 N 873)</w:t>
      </w:r>
    </w:p>
    <w:p>
      <w:pPr>
        <w:pStyle w:val="0"/>
        <w:spacing w:before="200" w:line-rule="auto"/>
        <w:ind w:firstLine="540"/>
        <w:jc w:val="both"/>
      </w:pPr>
      <w:r>
        <w:rPr>
          <w:sz w:val="20"/>
        </w:rPr>
        <w:t xml:space="preserve">2. Требование к иным комплектующим - при ремоторизации транспортного средства устанавливаемый двигатель должен быть новым (ранее не бывшим в употреблении), предназначенным для работы на природном газе и произведенным на территории Российской Федерации, начиная с 2025 года.</w:t>
      </w:r>
    </w:p>
    <w:p>
      <w:pPr>
        <w:pStyle w:val="0"/>
        <w:jc w:val="both"/>
      </w:pPr>
      <w:r>
        <w:rPr>
          <w:sz w:val="20"/>
        </w:rPr>
        <w:t xml:space="preserve">(в ред. Постановлений Правительства РФ от 19.06.2020 </w:t>
      </w:r>
      <w:hyperlink w:history="0" r:id="rId68" w:tooltip="Постановление Правительства РФ от 19.06.2020 N 886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N 886</w:t>
        </w:r>
      </w:hyperlink>
      <w:r>
        <w:rPr>
          <w:sz w:val="20"/>
        </w:rPr>
        <w:t xml:space="preserve">, от 27.06.2024 </w:t>
      </w:r>
      <w:hyperlink w:history="0" r:id="rId69" w:tooltip="Постановление Правительства РФ от 27.06.2024 N 873 &quot;О внесении изменений в постановление Правительства Российской Федерации от 15 апреля 2014 г. N 321&quot; {КонсультантПлюс}">
        <w:r>
          <w:rPr>
            <w:sz w:val="20"/>
            <w:color w:val="0000ff"/>
          </w:rPr>
          <w:t xml:space="preserve">N 873</w:t>
        </w:r>
      </w:hyperlink>
      <w:r>
        <w:rPr>
          <w:sz w:val="20"/>
        </w:rPr>
        <w:t xml:space="preserve">)</w:t>
      </w:r>
    </w:p>
    <w:p>
      <w:pPr>
        <w:pStyle w:val="0"/>
        <w:spacing w:before="200" w:line-rule="auto"/>
        <w:ind w:firstLine="540"/>
        <w:jc w:val="both"/>
      </w:pPr>
      <w:r>
        <w:rPr>
          <w:sz w:val="20"/>
        </w:rPr>
        <w:t xml:space="preserve">3. Требования к выполняемым работам по переоборудованию транспортных средств на использование природного газа в качестве моторного топлива:</w:t>
      </w:r>
    </w:p>
    <w:p>
      <w:pPr>
        <w:pStyle w:val="0"/>
        <w:spacing w:before="200" w:line-rule="auto"/>
        <w:ind w:firstLine="540"/>
        <w:jc w:val="both"/>
      </w:pPr>
      <w:r>
        <w:rPr>
          <w:sz w:val="20"/>
        </w:rPr>
        <w:t xml:space="preserve">работы должны выполняться в соответствии с требованиями технического </w:t>
      </w:r>
      <w:hyperlink w:history="0" r:id="rId70"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регламента</w:t>
        </w:r>
      </w:hyperlink>
      <w:r>
        <w:rPr>
          <w:sz w:val="20"/>
        </w:rPr>
        <w:t xml:space="preserve"> Таможенного союза "О безопасности колесных транспортных средств";</w:t>
      </w:r>
    </w:p>
    <w:p>
      <w:pPr>
        <w:pStyle w:val="0"/>
        <w:jc w:val="both"/>
      </w:pPr>
      <w:r>
        <w:rPr>
          <w:sz w:val="20"/>
        </w:rPr>
        <w:t xml:space="preserve">(в ред. </w:t>
      </w:r>
      <w:hyperlink w:history="0" r:id="rId71" w:tooltip="Постановление Правительства РФ от 17.08.2022 N 1427 &quot;О внесении изменений в приложения N 28 и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17.08.2022 N 1427)</w:t>
      </w:r>
    </w:p>
    <w:p>
      <w:pPr>
        <w:pStyle w:val="0"/>
        <w:spacing w:before="200" w:line-rule="auto"/>
        <w:ind w:firstLine="540"/>
        <w:jc w:val="both"/>
      </w:pPr>
      <w:r>
        <w:rPr>
          <w:sz w:val="20"/>
        </w:rPr>
        <w:t xml:space="preserve">минимальный гарантийный срок на выполняемые работы - 1 год или 30000 км (в зависимости от того, что наступит ранее);</w:t>
      </w:r>
    </w:p>
    <w:p>
      <w:pPr>
        <w:pStyle w:val="0"/>
        <w:spacing w:before="200" w:line-rule="auto"/>
        <w:ind w:firstLine="540"/>
        <w:jc w:val="both"/>
      </w:pPr>
      <w:r>
        <w:rPr>
          <w:sz w:val="20"/>
        </w:rPr>
        <w:t xml:space="preserve">проведение инструктажа владельца переоборудованного транспортного средства об особенностях эксплуатации и обслуживания такого транспортного средства;</w:t>
      </w:r>
    </w:p>
    <w:p>
      <w:pPr>
        <w:pStyle w:val="0"/>
        <w:spacing w:before="200" w:line-rule="auto"/>
        <w:ind w:firstLine="540"/>
        <w:jc w:val="both"/>
      </w:pPr>
      <w:r>
        <w:rPr>
          <w:sz w:val="20"/>
        </w:rPr>
        <w:t xml:space="preserve">работы по переоборудованию должны быть выполнены не ранее IV квартала года, предшествующего текущему году.</w:t>
      </w:r>
    </w:p>
    <w:p>
      <w:pPr>
        <w:pStyle w:val="0"/>
        <w:jc w:val="both"/>
      </w:pPr>
      <w:r>
        <w:rPr>
          <w:sz w:val="20"/>
        </w:rPr>
        <w:t xml:space="preserve">(в ред. </w:t>
      </w:r>
      <w:hyperlink w:history="0" r:id="rId72" w:tooltip="Постановление Правительства РФ от 19.06.2020 N 886 &quot;О внесении изменений в приложение N 29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19.06.2020 N 886)</w:t>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s://login.consultant.ru/link/?req=doc&amp;base=LAW&amp;n=445486&amp;dst=100016" TargetMode = "External"/>
	<Relationship Id="rId3" Type="http://schemas.openxmlformats.org/officeDocument/2006/relationships/hyperlink" Target="https://login.consultant.ru/link/?req=doc&amp;base=LAW&amp;n=351407&amp;dst=100005" TargetMode = "External"/>
	<Relationship Id="rId4" Type="http://schemas.openxmlformats.org/officeDocument/2006/relationships/hyperlink" Target="https://login.consultant.ru/link/?req=doc&amp;base=LAW&amp;n=354325&amp;dst=100005" TargetMode = "External"/>
	<Relationship Id="rId5" Type="http://schemas.openxmlformats.org/officeDocument/2006/relationships/hyperlink" Target="https://login.consultant.ru/link/?req=doc&amp;base=LAW&amp;n=355400&amp;dst=100005" TargetMode = "External"/>
	<Relationship Id="rId6" Type="http://schemas.openxmlformats.org/officeDocument/2006/relationships/hyperlink" Target="https://login.consultant.ru/link/?req=doc&amp;base=LAW&amp;n=360927&amp;dst=100005" TargetMode = "External"/>
	<Relationship Id="rId7" Type="http://schemas.openxmlformats.org/officeDocument/2006/relationships/hyperlink" Target="https://login.consultant.ru/link/?req=doc&amp;base=LAW&amp;n=367910&amp;dst=100017" TargetMode = "External"/>
	<Relationship Id="rId8" Type="http://schemas.openxmlformats.org/officeDocument/2006/relationships/hyperlink" Target="https://login.consultant.ru/link/?req=doc&amp;base=LAW&amp;n=374644&amp;dst=100005" TargetMode = "External"/>
	<Relationship Id="rId9" Type="http://schemas.openxmlformats.org/officeDocument/2006/relationships/hyperlink" Target="https://login.consultant.ru/link/?req=doc&amp;base=LAW&amp;n=392114&amp;dst=100005" TargetMode = "External"/>
	<Relationship Id="rId10" Type="http://schemas.openxmlformats.org/officeDocument/2006/relationships/hyperlink" Target="https://login.consultant.ru/link/?req=doc&amp;base=LAW&amp;n=459414&amp;dst=101196" TargetMode = "External"/>
	<Relationship Id="rId11" Type="http://schemas.openxmlformats.org/officeDocument/2006/relationships/hyperlink" Target="https://login.consultant.ru/link/?req=doc&amp;base=LAW&amp;n=424692&amp;dst=100039" TargetMode = "External"/>
	<Relationship Id="rId12" Type="http://schemas.openxmlformats.org/officeDocument/2006/relationships/hyperlink" Target="https://login.consultant.ru/link/?req=doc&amp;base=LAW&amp;n=429381&amp;dst=100018" TargetMode = "External"/>
	<Relationship Id="rId13" Type="http://schemas.openxmlformats.org/officeDocument/2006/relationships/hyperlink" Target="https://login.consultant.ru/link/?req=doc&amp;base=LAW&amp;n=435894&amp;dst=100098" TargetMode = "External"/>
	<Relationship Id="rId14" Type="http://schemas.openxmlformats.org/officeDocument/2006/relationships/hyperlink" Target="https://login.consultant.ru/link/?req=doc&amp;base=LAW&amp;n=445399&amp;dst=100020" TargetMode = "External"/>
	<Relationship Id="rId15" Type="http://schemas.openxmlformats.org/officeDocument/2006/relationships/hyperlink" Target="https://login.consultant.ru/link/?req=doc&amp;base=LAW&amp;n=479849&amp;dst=100005" TargetMode = "External"/>
	<Relationship Id="rId16" Type="http://schemas.openxmlformats.org/officeDocument/2006/relationships/hyperlink" Target="https://login.consultant.ru/link/?req=doc&amp;base=LAW&amp;n=445399&amp;dst=100021" TargetMode = "External"/>
	<Relationship Id="rId17" Type="http://schemas.openxmlformats.org/officeDocument/2006/relationships/hyperlink" Target="https://login.consultant.ru/link/?req=doc&amp;base=LAW&amp;n=479849&amp;dst=100010" TargetMode = "External"/>
	<Relationship Id="rId18" Type="http://schemas.openxmlformats.org/officeDocument/2006/relationships/hyperlink" Target="https://login.consultant.ru/link/?req=doc&amp;base=LAW&amp;n=477943&amp;dst=100044" TargetMode = "External"/>
	<Relationship Id="rId19" Type="http://schemas.openxmlformats.org/officeDocument/2006/relationships/hyperlink" Target="https://login.consultant.ru/link/?req=doc&amp;base=LAW&amp;n=435894&amp;dst=100099" TargetMode = "External"/>
	<Relationship Id="rId20" Type="http://schemas.openxmlformats.org/officeDocument/2006/relationships/hyperlink" Target="https://login.consultant.ru/link/?req=doc&amp;base=LAW&amp;n=445399&amp;dst=100024" TargetMode = "External"/>
	<Relationship Id="rId21" Type="http://schemas.openxmlformats.org/officeDocument/2006/relationships/hyperlink" Target="https://login.consultant.ru/link/?req=doc&amp;base=LAW&amp;n=424692&amp;dst=100040" TargetMode = "External"/>
	<Relationship Id="rId22" Type="http://schemas.openxmlformats.org/officeDocument/2006/relationships/hyperlink" Target="https://login.consultant.ru/link/?req=doc&amp;base=LAW&amp;n=355400&amp;dst=100010" TargetMode = "External"/>
	<Relationship Id="rId23" Type="http://schemas.openxmlformats.org/officeDocument/2006/relationships/hyperlink" Target="https://login.consultant.ru/link/?req=doc&amp;base=LAW&amp;n=424692&amp;dst=100042" TargetMode = "External"/>
	<Relationship Id="rId24" Type="http://schemas.openxmlformats.org/officeDocument/2006/relationships/hyperlink" Target="https://login.consultant.ru/link/?req=doc&amp;base=LAW&amp;n=367910&amp;dst=100018" TargetMode = "External"/>
	<Relationship Id="rId25" Type="http://schemas.openxmlformats.org/officeDocument/2006/relationships/hyperlink" Target="https://login.consultant.ru/link/?req=doc&amp;base=LAW&amp;n=367910&amp;dst=100020" TargetMode = "External"/>
	<Relationship Id="rId26" Type="http://schemas.openxmlformats.org/officeDocument/2006/relationships/hyperlink" Target="https://login.consultant.ru/link/?req=doc&amp;base=LAW&amp;n=459414&amp;dst=101196" TargetMode = "External"/>
	<Relationship Id="rId27" Type="http://schemas.openxmlformats.org/officeDocument/2006/relationships/hyperlink" Target="https://login.consultant.ru/link/?req=doc&amp;base=LAW&amp;n=435894&amp;dst=100100" TargetMode = "External"/>
	<Relationship Id="rId28" Type="http://schemas.openxmlformats.org/officeDocument/2006/relationships/hyperlink" Target="https://login.consultant.ru/link/?req=doc&amp;base=LAW&amp;n=435894&amp;dst=100100" TargetMode = "External"/>
	<Relationship Id="rId29" Type="http://schemas.openxmlformats.org/officeDocument/2006/relationships/hyperlink" Target="https://login.consultant.ru/link/?req=doc&amp;base=LAW&amp;n=459414&amp;dst=101196" TargetMode = "External"/>
	<Relationship Id="rId30" Type="http://schemas.openxmlformats.org/officeDocument/2006/relationships/image" Target="media/image1.wmf"/>
	<Relationship Id="rId31" Type="http://schemas.openxmlformats.org/officeDocument/2006/relationships/hyperlink" Target="https://login.consultant.ru/link/?req=doc&amp;base=LAW&amp;n=477943&amp;dst=394" TargetMode = "External"/>
	<Relationship Id="rId32" Type="http://schemas.openxmlformats.org/officeDocument/2006/relationships/hyperlink" Target="https://login.consultant.ru/link/?req=doc&amp;base=LAW&amp;n=479849&amp;dst=100012" TargetMode = "External"/>
	<Relationship Id="rId33" Type="http://schemas.openxmlformats.org/officeDocument/2006/relationships/hyperlink" Target="https://login.consultant.ru/link/?req=doc&amp;base=LAW&amp;n=396428" TargetMode = "External"/>
	<Relationship Id="rId34" Type="http://schemas.openxmlformats.org/officeDocument/2006/relationships/hyperlink" Target="https://login.consultant.ru/link/?req=doc&amp;base=LAW&amp;n=477943&amp;dst=257" TargetMode = "External"/>
	<Relationship Id="rId35" Type="http://schemas.openxmlformats.org/officeDocument/2006/relationships/hyperlink" Target="https://login.consultant.ru/link/?req=doc&amp;base=LAW&amp;n=479849&amp;dst=100020" TargetMode = "External"/>
	<Relationship Id="rId36" Type="http://schemas.openxmlformats.org/officeDocument/2006/relationships/hyperlink" Target="https://login.consultant.ru/link/?req=doc&amp;base=LAW&amp;n=392114&amp;dst=100010" TargetMode = "External"/>
	<Relationship Id="rId37" Type="http://schemas.openxmlformats.org/officeDocument/2006/relationships/hyperlink" Target="https://login.consultant.ru/link/?req=doc&amp;base=LAW&amp;n=477943&amp;dst=435" TargetMode = "External"/>
	<Relationship Id="rId38" Type="http://schemas.openxmlformats.org/officeDocument/2006/relationships/hyperlink" Target="https://login.consultant.ru/link/?req=doc&amp;base=LAW&amp;n=477943&amp;dst=274" TargetMode = "External"/>
	<Relationship Id="rId39" Type="http://schemas.openxmlformats.org/officeDocument/2006/relationships/hyperlink" Target="https://login.consultant.ru/link/?req=doc&amp;base=LAW&amp;n=477943&amp;dst=189" TargetMode = "External"/>
	<Relationship Id="rId40" Type="http://schemas.openxmlformats.org/officeDocument/2006/relationships/hyperlink" Target="https://login.consultant.ru/link/?req=doc&amp;base=LAW&amp;n=479849&amp;dst=100022" TargetMode = "External"/>
	<Relationship Id="rId41" Type="http://schemas.openxmlformats.org/officeDocument/2006/relationships/hyperlink" Target="https://login.consultant.ru/link/?req=doc&amp;base=LAW&amp;n=479849&amp;dst=100024" TargetMode = "External"/>
	<Relationship Id="rId42" Type="http://schemas.openxmlformats.org/officeDocument/2006/relationships/hyperlink" Target="https://login.consultant.ru/link/?req=doc&amp;base=LAW&amp;n=479849&amp;dst=100025" TargetMode = "External"/>
	<Relationship Id="rId43" Type="http://schemas.openxmlformats.org/officeDocument/2006/relationships/hyperlink" Target="https://login.consultant.ru/link/?req=doc&amp;base=LAW&amp;n=479849&amp;dst=100026" TargetMode = "External"/>
	<Relationship Id="rId44" Type="http://schemas.openxmlformats.org/officeDocument/2006/relationships/hyperlink" Target="https://login.consultant.ru/link/?req=doc&amp;base=LAW&amp;n=424692&amp;dst=100043" TargetMode = "External"/>
	<Relationship Id="rId45" Type="http://schemas.openxmlformats.org/officeDocument/2006/relationships/hyperlink" Target="https://login.consultant.ru/link/?req=doc&amp;base=LAW&amp;n=424692&amp;dst=100043" TargetMode = "External"/>
	<Relationship Id="rId46" Type="http://schemas.openxmlformats.org/officeDocument/2006/relationships/hyperlink" Target="https://login.consultant.ru/link/?req=doc&amp;base=LAW&amp;n=354325&amp;dst=100010" TargetMode = "External"/>
	<Relationship Id="rId47" Type="http://schemas.openxmlformats.org/officeDocument/2006/relationships/hyperlink" Target="https://login.consultant.ru/link/?req=doc&amp;base=LAW&amp;n=355400&amp;dst=100012" TargetMode = "External"/>
	<Relationship Id="rId48" Type="http://schemas.openxmlformats.org/officeDocument/2006/relationships/hyperlink" Target="https://login.consultant.ru/link/?req=doc&amp;base=LAW&amp;n=367910&amp;dst=100021" TargetMode = "External"/>
	<Relationship Id="rId49" Type="http://schemas.openxmlformats.org/officeDocument/2006/relationships/hyperlink" Target="https://login.consultant.ru/link/?req=doc&amp;base=LAW&amp;n=374644&amp;dst=100005" TargetMode = "External"/>
	<Relationship Id="rId50" Type="http://schemas.openxmlformats.org/officeDocument/2006/relationships/hyperlink" Target="https://login.consultant.ru/link/?req=doc&amp;base=LAW&amp;n=424692&amp;dst=100044" TargetMode = "External"/>
	<Relationship Id="rId51" Type="http://schemas.openxmlformats.org/officeDocument/2006/relationships/hyperlink" Target="https://login.consultant.ru/link/?req=doc&amp;base=LAW&amp;n=429381&amp;dst=100018" TargetMode = "External"/>
	<Relationship Id="rId52" Type="http://schemas.openxmlformats.org/officeDocument/2006/relationships/hyperlink" Target="https://login.consultant.ru/link/?req=doc&amp;base=LAW&amp;n=479849&amp;dst=100028" TargetMode = "External"/>
	<Relationship Id="rId53" Type="http://schemas.openxmlformats.org/officeDocument/2006/relationships/hyperlink" Target="https://login.consultant.ru/link/?req=doc&amp;base=LAW&amp;n=355400&amp;dst=100013" TargetMode = "External"/>
	<Relationship Id="rId54" Type="http://schemas.openxmlformats.org/officeDocument/2006/relationships/hyperlink" Target="https://login.consultant.ru/link/?req=doc&amp;base=LAW&amp;n=374644&amp;dst=100006" TargetMode = "External"/>
	<Relationship Id="rId55" Type="http://schemas.openxmlformats.org/officeDocument/2006/relationships/hyperlink" Target="https://login.consultant.ru/link/?req=doc&amp;base=LAW&amp;n=429381&amp;dst=100018" TargetMode = "External"/>
	<Relationship Id="rId56" Type="http://schemas.openxmlformats.org/officeDocument/2006/relationships/hyperlink" Target="https://login.consultant.ru/link/?req=doc&amp;base=LAW&amp;n=479849&amp;dst=100028" TargetMode = "External"/>
	<Relationship Id="rId57" Type="http://schemas.openxmlformats.org/officeDocument/2006/relationships/hyperlink" Target="https://login.consultant.ru/link/?req=doc&amp;base=LAW&amp;n=459108&amp;dst=100035" TargetMode = "External"/>
	<Relationship Id="rId58" Type="http://schemas.openxmlformats.org/officeDocument/2006/relationships/hyperlink" Target="https://login.consultant.ru/link/?req=doc&amp;base=LAW&amp;n=424692&amp;dst=100044" TargetMode = "External"/>
	<Relationship Id="rId59" Type="http://schemas.openxmlformats.org/officeDocument/2006/relationships/hyperlink" Target="https://login.consultant.ru/link/?req=doc&amp;base=LAW&amp;n=351407&amp;dst=100010" TargetMode = "External"/>
	<Relationship Id="rId60" Type="http://schemas.openxmlformats.org/officeDocument/2006/relationships/hyperlink" Target="https://login.consultant.ru/link/?req=doc&amp;base=LAW&amp;n=354325&amp;dst=100014" TargetMode = "External"/>
	<Relationship Id="rId61" Type="http://schemas.openxmlformats.org/officeDocument/2006/relationships/hyperlink" Target="https://login.consultant.ru/link/?req=doc&amp;base=LAW&amp;n=355400&amp;dst=100038" TargetMode = "External"/>
	<Relationship Id="rId62" Type="http://schemas.openxmlformats.org/officeDocument/2006/relationships/hyperlink" Target="https://login.consultant.ru/link/?req=doc&amp;base=LAW&amp;n=392114&amp;dst=100011" TargetMode = "External"/>
	<Relationship Id="rId63" Type="http://schemas.openxmlformats.org/officeDocument/2006/relationships/hyperlink" Target="https://login.consultant.ru/link/?req=doc&amp;base=LAW&amp;n=424692&amp;dst=100046" TargetMode = "External"/>
	<Relationship Id="rId64" Type="http://schemas.openxmlformats.org/officeDocument/2006/relationships/hyperlink" Target="https://login.consultant.ru/link/?req=doc&amp;base=LAW&amp;n=445399&amp;dst=100028" TargetMode = "External"/>
	<Relationship Id="rId65" Type="http://schemas.openxmlformats.org/officeDocument/2006/relationships/hyperlink" Target="https://login.consultant.ru/link/?req=doc&amp;base=LAW&amp;n=479849&amp;dst=100052" TargetMode = "External"/>
	<Relationship Id="rId66" Type="http://schemas.openxmlformats.org/officeDocument/2006/relationships/hyperlink" Target="https://login.consultant.ru/link/?req=doc&amp;base=LAW&amp;n=479849&amp;dst=100053" TargetMode = "External"/>
	<Relationship Id="rId67" Type="http://schemas.openxmlformats.org/officeDocument/2006/relationships/hyperlink" Target="https://login.consultant.ru/link/?req=doc&amp;base=LAW&amp;n=479849&amp;dst=100055" TargetMode = "External"/>
	<Relationship Id="rId68" Type="http://schemas.openxmlformats.org/officeDocument/2006/relationships/hyperlink" Target="https://login.consultant.ru/link/?req=doc&amp;base=LAW&amp;n=355400&amp;dst=100039" TargetMode = "External"/>
	<Relationship Id="rId69" Type="http://schemas.openxmlformats.org/officeDocument/2006/relationships/hyperlink" Target="https://login.consultant.ru/link/?req=doc&amp;base=LAW&amp;n=479849&amp;dst=100056" TargetMode = "External"/>
	<Relationship Id="rId70" Type="http://schemas.openxmlformats.org/officeDocument/2006/relationships/hyperlink" Target="https://login.consultant.ru/link/?req=doc&amp;base=LAW&amp;n=459108&amp;dst=100035" TargetMode = "External"/>
	<Relationship Id="rId71" Type="http://schemas.openxmlformats.org/officeDocument/2006/relationships/hyperlink" Target="https://login.consultant.ru/link/?req=doc&amp;base=LAW&amp;n=424692&amp;dst=100046" TargetMode = "External"/>
	<Relationship Id="rId72" Type="http://schemas.openxmlformats.org/officeDocument/2006/relationships/hyperlink" Target="https://login.consultant.ru/link/?req=doc&amp;base=LAW&amp;n=355400&amp;dst=100040"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321
(ред. от 06.08.2024)
"Об утверждении государственной программы Российской Федерации "Развитие энергетики"</dc:title>
  <dcterms:created xsi:type="dcterms:W3CDTF">2024-09-12T13:59:08Z</dcterms:created>
</cp:coreProperties>
</file>